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48"/>
          <w:szCs w:val="56"/>
        </w:rPr>
      </w:pPr>
      <w:bookmarkStart w:id="0" w:name="_Toc385858760"/>
      <w:bookmarkStart w:id="1" w:name="_Toc385859119"/>
      <w:r>
        <w:rPr>
          <w:sz w:val="48"/>
        </w:rPr>
        <mc:AlternateContent>
          <mc:Choice Requires="wps">
            <w:drawing>
              <wp:anchor distT="0" distB="0" distL="114300" distR="114300" simplePos="0" relativeHeight="251661312" behindDoc="0" locked="0" layoutInCell="1" allowOverlap="1">
                <wp:simplePos x="0" y="0"/>
                <wp:positionH relativeFrom="column">
                  <wp:posOffset>895985</wp:posOffset>
                </wp:positionH>
                <wp:positionV relativeFrom="paragraph">
                  <wp:posOffset>59690</wp:posOffset>
                </wp:positionV>
                <wp:extent cx="1397000" cy="1417320"/>
                <wp:effectExtent l="4445" t="4445" r="8255" b="6985"/>
                <wp:wrapNone/>
                <wp:docPr id="1" name="文本框 1"/>
                <wp:cNvGraphicFramePr/>
                <a:graphic xmlns:a="http://schemas.openxmlformats.org/drawingml/2006/main">
                  <a:graphicData uri="http://schemas.microsoft.com/office/word/2010/wordprocessingShape">
                    <wps:wsp>
                      <wps:cNvSpPr txBox="1"/>
                      <wps:spPr>
                        <a:xfrm>
                          <a:off x="2113280" y="1238250"/>
                          <a:ext cx="1397000" cy="1417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301750" cy="1273175"/>
                                  <wp:effectExtent l="0" t="0" r="1270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301750" cy="1273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5pt;margin-top:4.7pt;height:111.6pt;width:110pt;z-index:251661312;mso-width-relative:page;mso-height-relative:page;" fillcolor="#FFFFFF [3201]" filled="t" stroked="t" coordsize="21600,21600" o:gfxdata="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7zcYtUAAAAJAQAADwAAAAAAAAABACAAAAAiAAAAZHJzL2Rvd25yZXYueG1sUEsBAhQAFAAAAAgA&#10;h07iQI0APPRhAgAAxAQAAA4AAAAAAAAAAQAgAAAAJAEAAGRycy9lMm9Eb2MueG1sUEsFBgAAAAAG&#10;AAYAWQEAAPcFAAAAAA==&#10;">
                <v:fill on="t" focussize="0,0"/>
                <v:stroke weight="0.5pt" color="#000000 [3204]" joinstyle="round"/>
                <v:imagedata o:title=""/>
                <o:lock v:ext="edit" aspectratio="f"/>
                <v:textbox>
                  <w:txbxContent>
                    <w:p>
                      <w:r>
                        <w:drawing>
                          <wp:inline distT="0" distB="0" distL="114300" distR="114300">
                            <wp:extent cx="1301750" cy="1273175"/>
                            <wp:effectExtent l="0" t="0" r="1270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301750" cy="1273175"/>
                                    </a:xfrm>
                                    <a:prstGeom prst="rect">
                                      <a:avLst/>
                                    </a:prstGeom>
                                    <a:noFill/>
                                    <a:ln>
                                      <a:noFill/>
                                    </a:ln>
                                  </pic:spPr>
                                </pic:pic>
                              </a:graphicData>
                            </a:graphic>
                          </wp:inline>
                        </w:drawing>
                      </w:r>
                    </w:p>
                  </w:txbxContent>
                </v:textbox>
              </v:shape>
            </w:pict>
          </mc:Fallback>
        </mc:AlternateContent>
      </w:r>
      <w:r>
        <w:rPr>
          <w:rFonts w:hint="eastAsia" w:ascii="方正大标宋简体" w:hAnsi="方正大标宋简体" w:eastAsia="方正大标宋简体" w:cs="方正大标宋简体"/>
          <w:sz w:val="48"/>
          <w:szCs w:val="56"/>
        </w:rPr>
        <w:drawing>
          <wp:anchor distT="0" distB="0" distL="114300" distR="114300" simplePos="0" relativeHeight="251659264" behindDoc="1" locked="0" layoutInCell="1" allowOverlap="1">
            <wp:simplePos x="0" y="0"/>
            <wp:positionH relativeFrom="column">
              <wp:posOffset>-8731250</wp:posOffset>
            </wp:positionH>
            <wp:positionV relativeFrom="paragraph">
              <wp:posOffset>-1238250</wp:posOffset>
            </wp:positionV>
            <wp:extent cx="15198090" cy="10747375"/>
            <wp:effectExtent l="0" t="0" r="3810" b="15875"/>
            <wp:wrapNone/>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14"/>
                    <a:stretch>
                      <a:fillRect/>
                    </a:stretch>
                  </pic:blipFill>
                  <pic:spPr>
                    <a:xfrm>
                      <a:off x="0" y="0"/>
                      <a:ext cx="15198090" cy="10747375"/>
                    </a:xfrm>
                    <a:prstGeom prst="rect">
                      <a:avLst/>
                    </a:prstGeom>
                  </pic:spPr>
                </pic:pic>
              </a:graphicData>
            </a:graphic>
          </wp:anchor>
        </w:drawing>
      </w:r>
      <w:r>
        <w:rPr>
          <w:sz w:val="32"/>
        </w:rPr>
        <mc:AlternateContent>
          <mc:Choice Requires="wps">
            <w:drawing>
              <wp:anchor distT="0" distB="0" distL="114300" distR="114300" simplePos="0" relativeHeight="251660288" behindDoc="0" locked="0" layoutInCell="1" allowOverlap="1">
                <wp:simplePos x="0" y="0"/>
                <wp:positionH relativeFrom="column">
                  <wp:posOffset>-8791575</wp:posOffset>
                </wp:positionH>
                <wp:positionV relativeFrom="paragraph">
                  <wp:posOffset>-1022350</wp:posOffset>
                </wp:positionV>
                <wp:extent cx="2995295" cy="676910"/>
                <wp:effectExtent l="0" t="0" r="14605" b="8890"/>
                <wp:wrapNone/>
                <wp:docPr id="35" name="文本框 35"/>
                <wp:cNvGraphicFramePr/>
                <a:graphic xmlns:a="http://schemas.openxmlformats.org/drawingml/2006/main">
                  <a:graphicData uri="http://schemas.microsoft.com/office/word/2010/wordprocessingShape">
                    <wps:wsp>
                      <wps:cNvSpPr txBox="1"/>
                      <wps:spPr>
                        <a:xfrm>
                          <a:off x="1997075" y="9716135"/>
                          <a:ext cx="2995295" cy="676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cs="黑体"/>
                                <w:sz w:val="48"/>
                                <w:szCs w:val="56"/>
                              </w:rPr>
                            </w:pPr>
                            <w:r>
                              <w:rPr>
                                <w:rFonts w:hint="eastAsia" w:ascii="黑体" w:hAnsi="黑体" w:eastAsia="黑体" w:cs="黑体"/>
                                <w:sz w:val="48"/>
                                <w:szCs w:val="56"/>
                              </w:rPr>
                              <w:t>二〇二一年11月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25pt;margin-top:-80.5pt;height:53.3pt;width:235.85pt;z-index:251660288;mso-width-relative:page;mso-height-relative:page;" fillcolor="#FFFFFF [3201]" filled="t" stroked="f" coordsize="21600,21600" o:gfxdata="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WdzkNgAAAAPAQAADwAAAAAAAAABACAAAAAiAAAAZHJzL2Rvd25yZXYueG1sUEsBAhQAFAAAAAgA&#10;h07iQHNlaTReAgAAnQQAAA4AAAAAAAAAAQAgAAAAJwEAAGRycy9lMm9Eb2MueG1sUEsFBgAAAAAG&#10;AAYAWQEAAPcFAAAAAA==&#10;">
                <v:fill on="t" focussize="0,0"/>
                <v:stroke on="f" weight="0.5pt"/>
                <v:imagedata o:title=""/>
                <o:lock v:ext="edit" aspectratio="f"/>
                <v:textbox>
                  <w:txbxContent>
                    <w:p>
                      <w:pPr>
                        <w:jc w:val="center"/>
                        <w:rPr>
                          <w:rFonts w:ascii="黑体" w:hAnsi="黑体" w:eastAsia="黑体" w:cs="黑体"/>
                          <w:sz w:val="48"/>
                          <w:szCs w:val="56"/>
                        </w:rPr>
                      </w:pPr>
                      <w:r>
                        <w:rPr>
                          <w:rFonts w:hint="eastAsia" w:ascii="黑体" w:hAnsi="黑体" w:eastAsia="黑体" w:cs="黑体"/>
                          <w:sz w:val="48"/>
                          <w:szCs w:val="56"/>
                        </w:rPr>
                        <w:t>二〇二一年11月</w:t>
                      </w:r>
                    </w:p>
                    <w:p/>
                  </w:txbxContent>
                </v:textbox>
              </v:shape>
            </w:pict>
          </mc:Fallback>
        </mc:AlternateContent>
      </w:r>
    </w:p>
    <w:p>
      <w:pPr>
        <w:rPr>
          <w:rFonts w:ascii="宋体" w:hAnsi="宋体" w:eastAsia="宋体" w:cs="宋体"/>
          <w:b/>
          <w:sz w:val="52"/>
          <w:szCs w:val="52"/>
        </w:rPr>
      </w:pPr>
    </w:p>
    <w:p>
      <w:pPr>
        <w:rPr>
          <w:rFonts w:ascii="宋体" w:hAnsi="宋体" w:eastAsia="宋体" w:cs="宋体"/>
          <w:b/>
          <w:sz w:val="52"/>
          <w:szCs w:val="52"/>
        </w:rPr>
      </w:pPr>
    </w:p>
    <w:p>
      <w:pPr>
        <w:rPr>
          <w:rFonts w:ascii="宋体" w:hAnsi="宋体" w:eastAsia="宋体" w:cs="宋体"/>
          <w:b/>
          <w:sz w:val="52"/>
          <w:szCs w:val="52"/>
        </w:rPr>
      </w:pPr>
    </w:p>
    <w:p>
      <w:pPr>
        <w:rPr>
          <w:rFonts w:ascii="宋体" w:hAnsi="宋体" w:eastAsia="宋体" w:cs="宋体"/>
          <w:sz w:val="24"/>
          <w:szCs w:val="24"/>
        </w:rPr>
      </w:pPr>
      <w:r>
        <w:rPr>
          <w:rFonts w:hint="eastAsia" w:ascii="宋体" w:hAnsi="宋体" w:eastAsia="宋体" w:cs="宋体"/>
          <w:sz w:val="24"/>
          <w:szCs w:val="24"/>
        </w:rPr>
        <w:t xml:space="preserve">    </w:t>
      </w:r>
    </w:p>
    <w:p>
      <w:pPr>
        <w:rPr>
          <w:rFonts w:ascii="宋体" w:hAnsi="宋体" w:eastAsia="宋体" w:cs="宋体"/>
          <w:sz w:val="24"/>
          <w:szCs w:val="24"/>
        </w:rPr>
      </w:pPr>
      <w:r>
        <w:rPr>
          <w:rFonts w:hint="eastAsia" w:ascii="宋体" w:hAnsi="宋体" w:eastAsia="宋体" w:cs="宋体"/>
          <w:sz w:val="24"/>
          <w:szCs w:val="24"/>
        </w:rPr>
        <w:t xml:space="preserve">                                                              </w:t>
      </w:r>
    </w:p>
    <w:p>
      <w:pPr>
        <w:tabs>
          <w:tab w:val="left" w:pos="1305"/>
        </w:tabs>
        <w:rPr>
          <w:rFonts w:ascii="方正大黑简体" w:hAnsi="方正大黑简体" w:eastAsia="方正大黑简体" w:cs="方正大黑简体"/>
          <w:sz w:val="56"/>
          <w:szCs w:val="96"/>
        </w:rPr>
      </w:pPr>
      <w:r>
        <w:rPr>
          <w:rFonts w:ascii="宋体" w:hAnsi="宋体" w:eastAsia="宋体" w:cs="宋体"/>
          <w:sz w:val="24"/>
          <w:szCs w:val="24"/>
        </w:rPr>
        <w:tab/>
      </w:r>
      <w:r>
        <w:rPr>
          <w:rFonts w:ascii="方正大黑简体" w:hAnsi="方正大黑简体" w:eastAsia="方正大黑简体" w:cs="方正大黑简体"/>
          <w:sz w:val="56"/>
          <w:szCs w:val="96"/>
        </w:rPr>
        <w:tab/>
      </w:r>
      <w:r>
        <w:rPr>
          <w:rFonts w:hint="eastAsia" w:ascii="方正大黑简体" w:hAnsi="方正大黑简体" w:eastAsia="方正大黑简体" w:cs="方正大黑简体"/>
          <w:sz w:val="56"/>
          <w:szCs w:val="96"/>
        </w:rPr>
        <w:t>2022级人才培养方案</w:t>
      </w:r>
      <w:r>
        <w:rPr>
          <w:rFonts w:ascii="方正大黑简体" w:hAnsi="方正大黑简体" w:eastAsia="方正大黑简体" w:cs="方正大黑简体"/>
          <w:sz w:val="56"/>
          <w:szCs w:val="96"/>
        </w:rPr>
        <w:tab/>
      </w:r>
    </w:p>
    <w:p>
      <w:pPr>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pPr>
        <w:spacing w:line="400" w:lineRule="exact"/>
        <w:jc w:val="center"/>
        <w:rPr>
          <w:rFonts w:ascii="方正大黑简体" w:hAnsi="方正大黑简体" w:eastAsia="方正大黑简体" w:cs="方正大黑简体"/>
          <w:sz w:val="48"/>
          <w:szCs w:val="56"/>
        </w:rPr>
      </w:pPr>
    </w:p>
    <w:p>
      <w:pPr>
        <w:jc w:val="center"/>
        <w:rPr>
          <w:rFonts w:ascii="宋体" w:hAnsi="宋体" w:eastAsia="宋体" w:cs="宋体"/>
          <w:sz w:val="24"/>
          <w:szCs w:val="24"/>
        </w:rPr>
      </w:pPr>
      <w:r>
        <w:rPr>
          <w:rFonts w:hint="eastAsia" w:ascii="方正大标宋简体" w:hAnsi="方正大标宋简体" w:eastAsia="方正大标宋简体" w:cs="方正大标宋简体"/>
          <w:sz w:val="48"/>
          <w:szCs w:val="56"/>
        </w:rPr>
        <w:t>学前教育系</w:t>
      </w:r>
    </w:p>
    <w:p>
      <w:pPr>
        <w:rPr>
          <w:rFonts w:ascii="宋体" w:hAnsi="宋体" w:eastAsia="宋体" w:cs="宋体"/>
          <w:sz w:val="24"/>
          <w:szCs w:val="24"/>
        </w:rPr>
      </w:pPr>
    </w:p>
    <w:p>
      <w:pPr>
        <w:spacing w:line="720" w:lineRule="auto"/>
        <w:rPr>
          <w:rFonts w:ascii="宋体" w:hAnsi="宋体" w:eastAsia="宋体" w:cs="宋体"/>
          <w:sz w:val="24"/>
          <w:szCs w:val="24"/>
        </w:rPr>
      </w:pPr>
      <w:r>
        <w:rPr>
          <w:rFonts w:hint="eastAsia" w:ascii="宋体" w:hAnsi="宋体" w:eastAsia="宋体" w:cs="宋体"/>
          <w:sz w:val="24"/>
          <w:szCs w:val="24"/>
        </w:rPr>
        <w:t xml:space="preserve">                                                </w:t>
      </w:r>
    </w:p>
    <w:p>
      <w:pPr>
        <w:spacing w:line="720" w:lineRule="auto"/>
        <w:rPr>
          <w:rFonts w:ascii="宋体" w:hAnsi="宋体" w:eastAsia="宋体" w:cs="宋体"/>
          <w:sz w:val="24"/>
          <w:szCs w:val="24"/>
        </w:rPr>
      </w:pPr>
    </w:p>
    <w:p>
      <w:pPr>
        <w:spacing w:line="720" w:lineRule="auto"/>
        <w:rPr>
          <w:rFonts w:ascii="黑体" w:hAnsi="黑体" w:eastAsia="黑体" w:cs="黑体"/>
          <w:sz w:val="36"/>
          <w:szCs w:val="36"/>
        </w:rPr>
      </w:pPr>
    </w:p>
    <w:p>
      <w:pPr>
        <w:spacing w:line="720" w:lineRule="auto"/>
        <w:rPr>
          <w:rFonts w:ascii="黑体" w:hAnsi="黑体" w:eastAsia="黑体" w:cs="黑体"/>
          <w:sz w:val="36"/>
          <w:szCs w:val="36"/>
        </w:rPr>
      </w:pPr>
    </w:p>
    <w:p>
      <w:pPr>
        <w:spacing w:line="720" w:lineRule="auto"/>
        <w:rPr>
          <w:rFonts w:ascii="黑体" w:hAnsi="黑体" w:eastAsia="黑体" w:cs="黑体"/>
          <w:sz w:val="36"/>
          <w:szCs w:val="36"/>
        </w:rPr>
      </w:pPr>
    </w:p>
    <w:p>
      <w:pPr>
        <w:jc w:val="center"/>
        <w:rPr>
          <w:rFonts w:ascii="黑体" w:hAnsi="黑体" w:eastAsia="黑体" w:cs="黑体"/>
          <w:sz w:val="48"/>
          <w:szCs w:val="56"/>
          <w:shd w:val="clear" w:color="auto" w:fill="FFFFFF" w:themeFill="background1"/>
        </w:rPr>
      </w:pPr>
    </w:p>
    <w:p>
      <w:pPr>
        <w:spacing w:line="720" w:lineRule="auto"/>
        <w:rPr>
          <w:rFonts w:ascii="黑体" w:hAnsi="黑体" w:eastAsia="黑体" w:cs="黑体"/>
          <w:sz w:val="36"/>
          <w:szCs w:val="36"/>
        </w:rPr>
      </w:pPr>
    </w:p>
    <w:p>
      <w:pPr>
        <w:spacing w:line="720" w:lineRule="auto"/>
        <w:rPr>
          <w:rFonts w:ascii="宋体" w:hAnsi="宋体" w:eastAsia="宋体" w:cs="宋体"/>
          <w:sz w:val="32"/>
          <w:szCs w:val="32"/>
        </w:rPr>
      </w:pPr>
    </w:p>
    <w:p>
      <w:pPr>
        <w:tabs>
          <w:tab w:val="left" w:leader="underscore" w:pos="7140"/>
        </w:tabs>
        <w:spacing w:line="720" w:lineRule="auto"/>
        <w:ind w:firstLine="960" w:firstLineChars="300"/>
        <w:jc w:val="left"/>
        <w:rPr>
          <w:rFonts w:ascii="宋体" w:hAnsi="宋体" w:eastAsia="宋体" w:cs="宋体"/>
          <w:sz w:val="32"/>
          <w:szCs w:val="32"/>
          <w:u w:val="single"/>
        </w:rPr>
      </w:pPr>
      <w:r>
        <w:rPr>
          <w:rFonts w:hint="eastAsia" w:ascii="宋体" w:hAnsi="宋体" w:eastAsia="宋体" w:cs="宋体"/>
          <w:sz w:val="32"/>
          <w:szCs w:val="32"/>
        </w:rPr>
        <w:t>专业名称：</w:t>
      </w:r>
      <w:r>
        <w:rPr>
          <w:rFonts w:hint="eastAsia" w:ascii="宋体" w:hAnsi="宋体" w:eastAsia="宋体" w:cs="宋体"/>
          <w:sz w:val="32"/>
          <w:szCs w:val="32"/>
          <w:u w:val="single"/>
        </w:rPr>
        <w:t xml:space="preserve">     学前教育专业           </w:t>
      </w:r>
    </w:p>
    <w:p>
      <w:pPr>
        <w:tabs>
          <w:tab w:val="left" w:leader="underscore" w:pos="7140"/>
        </w:tabs>
        <w:spacing w:line="720" w:lineRule="auto"/>
        <w:ind w:firstLine="960" w:firstLineChars="300"/>
        <w:jc w:val="left"/>
        <w:rPr>
          <w:rFonts w:ascii="宋体" w:hAnsi="宋体" w:eastAsia="宋体" w:cs="宋体"/>
          <w:sz w:val="32"/>
          <w:szCs w:val="32"/>
          <w:u w:val="single"/>
        </w:rPr>
      </w:pPr>
      <w:r>
        <w:rPr>
          <w:rFonts w:hint="eastAsia" w:ascii="宋体" w:hAnsi="宋体" w:eastAsia="宋体" w:cs="宋体"/>
          <w:sz w:val="32"/>
          <w:szCs w:val="32"/>
        </w:rPr>
        <w:t xml:space="preserve">专业代码： </w:t>
      </w:r>
      <w:r>
        <w:rPr>
          <w:rFonts w:hint="eastAsia" w:ascii="宋体" w:hAnsi="宋体" w:eastAsia="宋体" w:cs="宋体"/>
          <w:sz w:val="32"/>
          <w:szCs w:val="32"/>
          <w:u w:val="single"/>
        </w:rPr>
        <w:t xml:space="preserve">     570102K               </w:t>
      </w:r>
    </w:p>
    <w:p>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专业带头人：</w:t>
      </w:r>
      <w:r>
        <w:rPr>
          <w:rFonts w:hint="eastAsia" w:ascii="宋体" w:hAnsi="宋体" w:eastAsia="宋体" w:cs="宋体"/>
          <w:sz w:val="32"/>
          <w:szCs w:val="32"/>
          <w:u w:val="single"/>
        </w:rPr>
        <w:t xml:space="preserve">      伊丽                </w:t>
      </w:r>
    </w:p>
    <w:p>
      <w:pPr>
        <w:tabs>
          <w:tab w:val="left" w:leader="underscore" w:pos="7140"/>
        </w:tabs>
        <w:spacing w:line="720" w:lineRule="auto"/>
        <w:ind w:firstLine="960" w:firstLineChars="300"/>
        <w:jc w:val="left"/>
        <w:textAlignment w:val="baseline"/>
        <w:rPr>
          <w:rFonts w:ascii="宋体" w:hAnsi="宋体" w:eastAsia="宋体" w:cs="宋体"/>
          <w:sz w:val="32"/>
          <w:szCs w:val="32"/>
          <w:u w:val="single"/>
        </w:rPr>
      </w:pPr>
      <w:r>
        <w:rPr>
          <w:rFonts w:hint="eastAsia" w:ascii="宋体" w:hAnsi="宋体" w:eastAsia="宋体" w:cs="宋体"/>
          <w:sz w:val="32"/>
          <w:szCs w:val="32"/>
        </w:rPr>
        <w:t>各系审核：</w:t>
      </w:r>
      <w:r>
        <w:rPr>
          <w:rFonts w:hint="eastAsia" w:ascii="宋体" w:hAnsi="宋体" w:eastAsia="宋体" w:cs="宋体"/>
          <w:sz w:val="32"/>
          <w:szCs w:val="32"/>
          <w:u w:val="single"/>
        </w:rPr>
        <w:t xml:space="preserve">       202</w:t>
      </w:r>
      <w:r>
        <w:rPr>
          <w:rFonts w:ascii="宋体" w:hAnsi="宋体" w:eastAsia="宋体" w:cs="宋体"/>
          <w:sz w:val="32"/>
          <w:szCs w:val="32"/>
          <w:u w:val="single"/>
        </w:rPr>
        <w:t>1</w:t>
      </w:r>
      <w:r>
        <w:rPr>
          <w:rFonts w:hint="eastAsia" w:ascii="宋体" w:hAnsi="宋体" w:eastAsia="宋体" w:cs="宋体"/>
          <w:sz w:val="32"/>
          <w:szCs w:val="32"/>
          <w:u w:val="single"/>
        </w:rPr>
        <w:t xml:space="preserve">年7月          </w:t>
      </w:r>
    </w:p>
    <w:p>
      <w:pPr>
        <w:tabs>
          <w:tab w:val="left" w:leader="underscore" w:pos="7140"/>
        </w:tabs>
        <w:spacing w:line="720" w:lineRule="auto"/>
        <w:ind w:firstLine="960" w:firstLineChars="300"/>
        <w:jc w:val="left"/>
        <w:textAlignment w:val="baseline"/>
        <w:rPr>
          <w:rFonts w:ascii="宋体" w:hAnsi="宋体" w:eastAsia="宋体" w:cs="宋体"/>
          <w:sz w:val="32"/>
          <w:szCs w:val="32"/>
        </w:rPr>
      </w:pPr>
      <w:r>
        <w:rPr>
          <w:rFonts w:hint="eastAsia" w:ascii="宋体" w:hAnsi="宋体" w:eastAsia="宋体" w:cs="宋体"/>
          <w:sz w:val="32"/>
          <w:szCs w:val="32"/>
        </w:rPr>
        <w:t>教务处审核：</w:t>
      </w:r>
      <w:r>
        <w:rPr>
          <w:rFonts w:hint="eastAsia" w:ascii="宋体" w:hAnsi="宋体" w:eastAsia="宋体" w:cs="宋体"/>
          <w:sz w:val="32"/>
          <w:szCs w:val="32"/>
          <w:u w:val="single"/>
        </w:rPr>
        <w:t xml:space="preserve">     202</w:t>
      </w:r>
      <w:r>
        <w:rPr>
          <w:rFonts w:ascii="宋体" w:hAnsi="宋体" w:eastAsia="宋体" w:cs="宋体"/>
          <w:sz w:val="32"/>
          <w:szCs w:val="32"/>
          <w:u w:val="single"/>
        </w:rPr>
        <w:t>2</w:t>
      </w:r>
      <w:r>
        <w:rPr>
          <w:rFonts w:hint="eastAsia" w:ascii="宋体" w:hAnsi="宋体" w:eastAsia="宋体" w:cs="宋体"/>
          <w:sz w:val="32"/>
          <w:szCs w:val="32"/>
          <w:u w:val="single"/>
        </w:rPr>
        <w:t>年7月</w:t>
      </w:r>
      <w:r>
        <w:rPr>
          <w:rFonts w:hint="eastAsia" w:ascii="宋体" w:hAnsi="宋体" w:eastAsia="宋体" w:cs="宋体"/>
          <w:sz w:val="32"/>
          <w:szCs w:val="32"/>
        </w:rPr>
        <w:tab/>
      </w:r>
      <w:r>
        <w:rPr>
          <w:rFonts w:hint="eastAsia" w:ascii="宋体" w:hAnsi="宋体" w:eastAsia="宋体" w:cs="宋体"/>
          <w:sz w:val="32"/>
          <w:szCs w:val="32"/>
        </w:rPr>
        <w:t xml:space="preserve"> </w:t>
      </w:r>
    </w:p>
    <w:p>
      <w:pPr>
        <w:tabs>
          <w:tab w:val="left" w:leader="underscore" w:pos="7140"/>
        </w:tabs>
        <w:spacing w:line="720" w:lineRule="auto"/>
        <w:ind w:firstLine="960" w:firstLineChars="300"/>
        <w:jc w:val="left"/>
        <w:textAlignment w:val="baseline"/>
        <w:rPr>
          <w:rFonts w:ascii="宋体" w:hAnsi="宋体" w:eastAsia="宋体" w:cs="宋体"/>
          <w:sz w:val="32"/>
          <w:szCs w:val="32"/>
        </w:rPr>
      </w:pPr>
      <w:r>
        <w:rPr>
          <w:rFonts w:hint="eastAsia" w:ascii="宋体" w:hAnsi="宋体" w:eastAsia="宋体" w:cs="宋体"/>
          <w:sz w:val="32"/>
          <w:szCs w:val="32"/>
        </w:rPr>
        <w:t>学校审核：</w:t>
      </w:r>
      <w:r>
        <w:rPr>
          <w:rFonts w:hint="eastAsia" w:ascii="宋体" w:hAnsi="宋体" w:eastAsia="宋体" w:cs="宋体"/>
          <w:sz w:val="32"/>
          <w:szCs w:val="32"/>
          <w:u w:val="single"/>
        </w:rPr>
        <w:t xml:space="preserve">       202</w:t>
      </w:r>
      <w:r>
        <w:rPr>
          <w:rFonts w:ascii="宋体" w:hAnsi="宋体" w:eastAsia="宋体" w:cs="宋体"/>
          <w:sz w:val="32"/>
          <w:szCs w:val="32"/>
          <w:u w:val="single"/>
        </w:rPr>
        <w:t>2</w:t>
      </w:r>
      <w:r>
        <w:rPr>
          <w:rFonts w:hint="eastAsia" w:ascii="宋体" w:hAnsi="宋体" w:eastAsia="宋体" w:cs="宋体"/>
          <w:sz w:val="32"/>
          <w:szCs w:val="32"/>
          <w:u w:val="single"/>
        </w:rPr>
        <w:t>年7月</w:t>
      </w:r>
      <w:r>
        <w:rPr>
          <w:rFonts w:hint="eastAsia" w:ascii="宋体" w:hAnsi="宋体" w:eastAsia="宋体" w:cs="宋体"/>
          <w:sz w:val="32"/>
          <w:szCs w:val="32"/>
        </w:rPr>
        <w:tab/>
      </w:r>
      <w:r>
        <w:rPr>
          <w:rFonts w:hint="eastAsia" w:ascii="宋体" w:hAnsi="宋体" w:eastAsia="宋体" w:cs="宋体"/>
          <w:sz w:val="32"/>
          <w:szCs w:val="32"/>
        </w:rPr>
        <w:t xml:space="preserve"> </w:t>
      </w:r>
    </w:p>
    <w:p>
      <w:pPr>
        <w:tabs>
          <w:tab w:val="left" w:leader="underscore" w:pos="7140"/>
        </w:tabs>
        <w:spacing w:line="720" w:lineRule="auto"/>
        <w:ind w:firstLine="960" w:firstLineChars="300"/>
        <w:jc w:val="left"/>
        <w:rPr>
          <w:rFonts w:ascii="宋体" w:hAnsi="宋体" w:eastAsia="宋体" w:cs="宋体"/>
          <w:sz w:val="32"/>
          <w:szCs w:val="32"/>
        </w:rPr>
      </w:pPr>
      <w:r>
        <w:rPr>
          <w:rFonts w:hint="eastAsia" w:ascii="宋体" w:hAnsi="宋体" w:eastAsia="宋体" w:cs="宋体"/>
          <w:sz w:val="32"/>
          <w:szCs w:val="32"/>
        </w:rPr>
        <w:t>批准时间：</w:t>
      </w:r>
      <w:r>
        <w:rPr>
          <w:rFonts w:hint="eastAsia" w:ascii="宋体" w:hAnsi="宋体" w:eastAsia="宋体" w:cs="宋体"/>
          <w:sz w:val="32"/>
          <w:szCs w:val="32"/>
          <w:u w:val="single"/>
        </w:rPr>
        <w:t xml:space="preserve">       202</w:t>
      </w:r>
      <w:r>
        <w:rPr>
          <w:rFonts w:ascii="宋体" w:hAnsi="宋体" w:eastAsia="宋体" w:cs="宋体"/>
          <w:sz w:val="32"/>
          <w:szCs w:val="32"/>
          <w:u w:val="single"/>
        </w:rPr>
        <w:t>2</w:t>
      </w:r>
      <w:r>
        <w:rPr>
          <w:rFonts w:hint="eastAsia" w:ascii="宋体" w:hAnsi="宋体" w:eastAsia="宋体" w:cs="宋体"/>
          <w:sz w:val="32"/>
          <w:szCs w:val="32"/>
          <w:u w:val="single"/>
        </w:rPr>
        <w:t>年8月</w:t>
      </w:r>
      <w:r>
        <w:rPr>
          <w:rFonts w:hint="eastAsia" w:ascii="宋体" w:hAnsi="宋体" w:eastAsia="宋体" w:cs="宋体"/>
          <w:sz w:val="32"/>
          <w:szCs w:val="32"/>
        </w:rPr>
        <w:tab/>
      </w:r>
    </w:p>
    <w:p>
      <w:pPr>
        <w:spacing w:line="720" w:lineRule="auto"/>
        <w:rPr>
          <w:rFonts w:ascii="黑体" w:hAnsi="黑体" w:eastAsia="黑体" w:cs="黑体"/>
          <w:sz w:val="32"/>
          <w:szCs w:val="32"/>
        </w:rPr>
      </w:pPr>
    </w:p>
    <w:p>
      <w:pPr>
        <w:spacing w:line="720" w:lineRule="auto"/>
        <w:rPr>
          <w:rFonts w:ascii="黑体" w:hAnsi="黑体" w:eastAsia="黑体" w:cs="黑体"/>
          <w:sz w:val="32"/>
          <w:szCs w:val="32"/>
        </w:rPr>
      </w:pPr>
    </w:p>
    <w:p>
      <w:pPr>
        <w:spacing w:line="360" w:lineRule="auto"/>
        <w:rPr>
          <w:rFonts w:ascii="宋体" w:hAnsi="宋体" w:eastAsia="宋体" w:cs="宋体"/>
          <w:b/>
          <w:bCs/>
          <w:sz w:val="40"/>
          <w:szCs w:val="40"/>
          <w:u w:val="single"/>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425" w:num="1"/>
          <w:titlePg/>
          <w:docGrid w:type="lines" w:linePitch="312" w:charSpace="0"/>
        </w:sectPr>
      </w:pPr>
    </w:p>
    <w:p>
      <w:pPr>
        <w:spacing w:line="360" w:lineRule="auto"/>
        <w:jc w:val="center"/>
        <w:rPr>
          <w:rFonts w:ascii="宋体" w:hAnsi="宋体" w:eastAsia="宋体" w:cs="宋体"/>
          <w:b/>
          <w:bCs/>
          <w:sz w:val="40"/>
          <w:szCs w:val="40"/>
        </w:rPr>
      </w:pPr>
      <w:r>
        <w:rPr>
          <w:rFonts w:hint="eastAsia" w:ascii="宋体" w:hAnsi="宋体" w:eastAsia="宋体" w:cs="宋体"/>
          <w:b/>
          <w:bCs/>
          <w:sz w:val="40"/>
          <w:szCs w:val="40"/>
        </w:rPr>
        <w:t>学前教育专业人才培养方案</w:t>
      </w:r>
    </w:p>
    <w:tbl>
      <w:tblPr>
        <w:tblStyle w:val="12"/>
        <w:tblpPr w:leftFromText="180" w:rightFromText="180" w:vertAnchor="text" w:horzAnchor="page" w:tblpX="1574" w:tblpY="294"/>
        <w:tblOverlap w:val="never"/>
        <w:tblW w:w="9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410"/>
        <w:gridCol w:w="4445"/>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restart"/>
          </w:tcPr>
          <w:p>
            <w:pPr>
              <w:spacing w:line="720" w:lineRule="auto"/>
              <w:jc w:val="center"/>
              <w:rPr>
                <w:rFonts w:ascii="黑体" w:hAnsi="黑体" w:eastAsia="黑体" w:cs="黑体"/>
                <w:b/>
                <w:bCs/>
                <w:sz w:val="28"/>
                <w:szCs w:val="28"/>
              </w:rPr>
            </w:pPr>
          </w:p>
          <w:p>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执笔人</w:t>
            </w:r>
          </w:p>
        </w:tc>
        <w:tc>
          <w:tcPr>
            <w:tcW w:w="1410" w:type="dxa"/>
          </w:tcPr>
          <w:p>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姓名</w:t>
            </w:r>
          </w:p>
        </w:tc>
        <w:tc>
          <w:tcPr>
            <w:tcW w:w="4445" w:type="dxa"/>
          </w:tcPr>
          <w:p>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单位</w:t>
            </w:r>
          </w:p>
        </w:tc>
        <w:tc>
          <w:tcPr>
            <w:tcW w:w="1915" w:type="dxa"/>
          </w:tcPr>
          <w:p>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职称/职务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伊丽</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呼伦贝尔职业技术学院</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40"/>
                <w:szCs w:val="40"/>
              </w:rPr>
            </w:pPr>
            <w:r>
              <w:rPr>
                <w:rFonts w:hint="eastAsia" w:ascii="黑体" w:hAnsi="黑体" w:eastAsia="黑体" w:cs="黑体"/>
                <w:b/>
                <w:bCs/>
                <w:sz w:val="28"/>
                <w:szCs w:val="28"/>
              </w:rPr>
              <w:t>陈天星</w:t>
            </w:r>
          </w:p>
        </w:tc>
        <w:tc>
          <w:tcPr>
            <w:tcW w:w="4445" w:type="dxa"/>
          </w:tcPr>
          <w:p>
            <w:pPr>
              <w:spacing w:line="720" w:lineRule="auto"/>
              <w:jc w:val="center"/>
              <w:rPr>
                <w:rFonts w:ascii="黑体" w:hAnsi="黑体" w:eastAsia="黑体" w:cs="黑体"/>
                <w:b/>
                <w:bCs/>
                <w:sz w:val="40"/>
                <w:szCs w:val="40"/>
              </w:rPr>
            </w:pPr>
            <w:r>
              <w:rPr>
                <w:rFonts w:hint="eastAsia" w:ascii="黑体" w:hAnsi="黑体" w:eastAsia="黑体" w:cs="黑体"/>
                <w:b/>
                <w:bCs/>
                <w:sz w:val="32"/>
                <w:szCs w:val="32"/>
              </w:rPr>
              <w:t>呼伦贝尔职业技术学院</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545" w:type="dxa"/>
            <w:vMerge w:val="restart"/>
          </w:tcPr>
          <w:p>
            <w:pPr>
              <w:spacing w:line="720" w:lineRule="auto"/>
              <w:jc w:val="center"/>
              <w:rPr>
                <w:rFonts w:ascii="黑体" w:hAnsi="黑体" w:eastAsia="黑体" w:cs="黑体"/>
                <w:b/>
                <w:bCs/>
                <w:sz w:val="28"/>
                <w:szCs w:val="28"/>
              </w:rPr>
            </w:pPr>
            <w:r>
              <w:rPr>
                <w:rFonts w:hint="eastAsia" w:ascii="黑体" w:hAnsi="黑体" w:eastAsia="黑体" w:cs="黑体"/>
                <w:b/>
                <w:bCs/>
                <w:sz w:val="28"/>
                <w:szCs w:val="28"/>
              </w:rPr>
              <w:t>主要</w:t>
            </w:r>
          </w:p>
          <w:p>
            <w:pPr>
              <w:spacing w:line="720" w:lineRule="auto"/>
              <w:jc w:val="center"/>
              <w:rPr>
                <w:rFonts w:ascii="黑体" w:hAnsi="黑体" w:eastAsia="黑体" w:cs="黑体"/>
                <w:b/>
                <w:bCs/>
                <w:sz w:val="40"/>
                <w:szCs w:val="40"/>
              </w:rPr>
            </w:pPr>
            <w:r>
              <w:rPr>
                <w:rFonts w:hint="eastAsia" w:ascii="黑体" w:hAnsi="黑体" w:eastAsia="黑体" w:cs="黑体"/>
                <w:b/>
                <w:bCs/>
                <w:sz w:val="28"/>
                <w:szCs w:val="28"/>
              </w:rPr>
              <w:t>参与人</w:t>
            </w: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塔娜</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陈巴尔虎旗民族幼儿园</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倪浩</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海拉尔河东幼儿园</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于淑洁</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海拉尔娜荷芽艺术幼儿园</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张岩</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海拉尔红黄蓝亲子园</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ascii="黑体" w:hAnsi="黑体" w:eastAsia="黑体" w:cs="黑体"/>
                <w:b/>
                <w:bCs/>
                <w:sz w:val="32"/>
                <w:szCs w:val="32"/>
              </w:rPr>
              <w:t>彭欣</w:t>
            </w:r>
          </w:p>
        </w:tc>
        <w:tc>
          <w:tcPr>
            <w:tcW w:w="4445" w:type="dxa"/>
          </w:tcPr>
          <w:p>
            <w:pPr>
              <w:spacing w:line="720" w:lineRule="auto"/>
              <w:jc w:val="center"/>
              <w:rPr>
                <w:rFonts w:ascii="黑体" w:hAnsi="黑体" w:eastAsia="黑体" w:cs="黑体"/>
                <w:b/>
                <w:bCs/>
                <w:sz w:val="32"/>
                <w:szCs w:val="32"/>
              </w:rPr>
            </w:pPr>
            <w:r>
              <w:rPr>
                <w:rFonts w:ascii="黑体" w:hAnsi="黑体" w:eastAsia="黑体" w:cs="黑体"/>
                <w:b/>
                <w:bCs/>
                <w:sz w:val="32"/>
                <w:szCs w:val="32"/>
              </w:rPr>
              <w:t>海拉尔大风车幼儿园</w:t>
            </w:r>
          </w:p>
        </w:tc>
        <w:tc>
          <w:tcPr>
            <w:tcW w:w="1915" w:type="dxa"/>
          </w:tcPr>
          <w:p>
            <w:pPr>
              <w:spacing w:line="720" w:lineRule="auto"/>
              <w:jc w:val="center"/>
              <w:rPr>
                <w:rFonts w:ascii="黑体" w:hAnsi="黑体" w:eastAsia="黑体" w:cs="黑体"/>
                <w:b/>
                <w:bCs/>
                <w:sz w:val="24"/>
                <w:szCs w:val="24"/>
              </w:rPr>
            </w:pPr>
            <w:r>
              <w:rPr>
                <w:rFonts w:ascii="黑体" w:hAnsi="黑体" w:eastAsia="黑体" w:cs="黑体"/>
                <w:b/>
                <w:bCs/>
                <w:sz w:val="24"/>
                <w:szCs w:val="24"/>
              </w:rPr>
              <w:t>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焦健</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呼伦贝尔职业技术学院</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王增萍</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呼伦贝尔职业技术学院</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冯斌斌</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呼伦贝尔职业技术学院</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卢美娇</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海拉尔区民族幼儿园</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教师（毕业生）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45" w:type="dxa"/>
            <w:vMerge w:val="continue"/>
          </w:tcPr>
          <w:p>
            <w:pPr>
              <w:spacing w:line="720" w:lineRule="auto"/>
              <w:jc w:val="center"/>
              <w:rPr>
                <w:rFonts w:ascii="黑体" w:hAnsi="黑体" w:eastAsia="黑体" w:cs="黑体"/>
                <w:b/>
                <w:bCs/>
                <w:sz w:val="40"/>
                <w:szCs w:val="40"/>
              </w:rPr>
            </w:pPr>
          </w:p>
        </w:tc>
        <w:tc>
          <w:tcPr>
            <w:tcW w:w="1410"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倪相龙</w:t>
            </w:r>
          </w:p>
        </w:tc>
        <w:tc>
          <w:tcPr>
            <w:tcW w:w="4445" w:type="dxa"/>
          </w:tcPr>
          <w:p>
            <w:pPr>
              <w:spacing w:line="720" w:lineRule="auto"/>
              <w:jc w:val="center"/>
              <w:rPr>
                <w:rFonts w:ascii="黑体" w:hAnsi="黑体" w:eastAsia="黑体" w:cs="黑体"/>
                <w:b/>
                <w:bCs/>
                <w:sz w:val="32"/>
                <w:szCs w:val="32"/>
              </w:rPr>
            </w:pPr>
            <w:r>
              <w:rPr>
                <w:rFonts w:hint="eastAsia" w:ascii="黑体" w:hAnsi="黑体" w:eastAsia="黑体" w:cs="黑体"/>
                <w:b/>
                <w:bCs/>
                <w:sz w:val="32"/>
                <w:szCs w:val="32"/>
              </w:rPr>
              <w:t>呼伦贝尔职业技术学院</w:t>
            </w:r>
          </w:p>
        </w:tc>
        <w:tc>
          <w:tcPr>
            <w:tcW w:w="1915" w:type="dxa"/>
          </w:tcPr>
          <w:p>
            <w:pPr>
              <w:spacing w:line="720" w:lineRule="auto"/>
              <w:jc w:val="center"/>
              <w:rPr>
                <w:rFonts w:ascii="黑体" w:hAnsi="黑体" w:eastAsia="黑体" w:cs="黑体"/>
                <w:b/>
                <w:bCs/>
                <w:sz w:val="24"/>
                <w:szCs w:val="24"/>
              </w:rPr>
            </w:pPr>
            <w:r>
              <w:rPr>
                <w:rFonts w:hint="eastAsia" w:ascii="黑体" w:hAnsi="黑体" w:eastAsia="黑体" w:cs="黑体"/>
                <w:b/>
                <w:bCs/>
                <w:sz w:val="24"/>
                <w:szCs w:val="24"/>
              </w:rPr>
              <w:t>学生</w:t>
            </w:r>
          </w:p>
        </w:tc>
      </w:tr>
    </w:tbl>
    <w:p>
      <w:pPr>
        <w:spacing w:line="360" w:lineRule="auto"/>
        <w:jc w:val="center"/>
        <w:rPr>
          <w:rFonts w:ascii="宋体" w:hAnsi="宋体" w:eastAsia="宋体" w:cs="宋体"/>
          <w:b/>
          <w:bCs/>
          <w:sz w:val="52"/>
          <w:szCs w:val="52"/>
        </w:rPr>
      </w:pPr>
      <w:r>
        <w:rPr>
          <w:rFonts w:hint="eastAsia" w:ascii="宋体" w:hAnsi="宋体" w:eastAsia="宋体" w:cs="宋体"/>
          <w:b/>
          <w:bCs/>
          <w:sz w:val="52"/>
          <w:szCs w:val="52"/>
        </w:rPr>
        <w:t>目 录</w:t>
      </w:r>
    </w:p>
    <w:p>
      <w:pPr>
        <w:tabs>
          <w:tab w:val="left" w:pos="713"/>
          <w:tab w:val="center" w:pos="4222"/>
        </w:tabs>
        <w:jc w:val="center"/>
        <w:rPr>
          <w:rFonts w:ascii="宋体" w:hAnsi="宋体" w:eastAsia="宋体"/>
        </w:rPr>
      </w:pPr>
      <w:r>
        <w:rPr>
          <w:rFonts w:hint="eastAsia" w:ascii="宋体" w:hAnsi="宋体" w:eastAsia="宋体"/>
        </w:rPr>
        <w:tab/>
      </w:r>
    </w:p>
    <w:sdt>
      <w:sdtPr>
        <w:rPr>
          <w:rFonts w:ascii="宋体" w:hAnsi="宋体" w:eastAsia="宋体"/>
        </w:rPr>
        <w:id w:val="147460326"/>
        <w:docPartObj>
          <w:docPartGallery w:val="Table of Contents"/>
          <w:docPartUnique/>
        </w:docPartObj>
      </w:sdtPr>
      <w:sdtEndPr>
        <w:rPr>
          <w:rFonts w:hint="eastAsia" w:ascii="宋体" w:hAnsi="宋体" w:eastAsia="宋体" w:cs="宋体"/>
          <w:b/>
          <w:szCs w:val="21"/>
        </w:rPr>
      </w:sdtEndPr>
      <w:sdtContent>
        <w:p>
          <w:pPr>
            <w:tabs>
              <w:tab w:val="left" w:pos="713"/>
              <w:tab w:val="center" w:pos="4222"/>
            </w:tabs>
            <w:jc w:val="left"/>
            <w:rPr>
              <w:rFonts w:asciiTheme="minorHAnsi" w:hAnsiTheme="minorHAnsi" w:eastAsiaTheme="minorEastAsia" w:cstheme="minorBidi"/>
            </w:rPr>
          </w:pPr>
          <w:r>
            <w:rPr>
              <w:rFonts w:hint="eastAsia" w:ascii="宋体" w:hAnsi="宋体" w:cs="宋体"/>
              <w:kern w:val="0"/>
              <w:szCs w:val="21"/>
            </w:rPr>
            <w:fldChar w:fldCharType="begin"/>
          </w:r>
          <w:r>
            <w:rPr>
              <w:rFonts w:hint="eastAsia" w:ascii="宋体" w:hAnsi="宋体" w:cs="宋体"/>
              <w:szCs w:val="21"/>
            </w:rPr>
            <w:instrText xml:space="preserve">TOC \o "1-2" \h \u </w:instrText>
          </w:r>
          <w:r>
            <w:rPr>
              <w:rFonts w:hint="eastAsia" w:ascii="宋体" w:hAnsi="宋体" w:cs="宋体"/>
              <w:kern w:val="0"/>
              <w:szCs w:val="21"/>
            </w:rPr>
            <w:fldChar w:fldCharType="separate"/>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"_Toc87642123" </w:instrText>
          </w:r>
          <w:r>
            <w:fldChar w:fldCharType="separate"/>
          </w:r>
          <w:r>
            <w:rPr>
              <w:rStyle w:val="16"/>
              <w:rFonts w:hint="eastAsia" w:ascii="黑体" w:hAnsi="黑体" w:eastAsia="黑体" w:cs="黑体"/>
              <w:b/>
              <w:kern w:val="44"/>
            </w:rPr>
            <w:t>一、专业名称及专业代码</w:t>
          </w:r>
          <w:r>
            <w:tab/>
          </w:r>
          <w:r>
            <w:fldChar w:fldCharType="begin"/>
          </w:r>
          <w:r>
            <w:instrText xml:space="preserve"> PAGEREF _Toc87642123 \h </w:instrText>
          </w:r>
          <w:r>
            <w:fldChar w:fldCharType="separate"/>
          </w:r>
          <w:r>
            <w:t>1</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"_Toc87642124" </w:instrText>
          </w:r>
          <w:r>
            <w:fldChar w:fldCharType="separate"/>
          </w:r>
          <w:r>
            <w:rPr>
              <w:rStyle w:val="16"/>
              <w:rFonts w:hint="eastAsia" w:ascii="黑体" w:hAnsi="黑体" w:eastAsia="黑体" w:cs="黑体"/>
              <w:b/>
              <w:kern w:val="44"/>
            </w:rPr>
            <w:t>二、入学要求</w:t>
          </w:r>
          <w:r>
            <w:tab/>
          </w:r>
          <w:r>
            <w:fldChar w:fldCharType="begin"/>
          </w:r>
          <w:r>
            <w:instrText xml:space="preserve"> PAGEREF _Toc87642124 \h </w:instrText>
          </w:r>
          <w:r>
            <w:fldChar w:fldCharType="separate"/>
          </w:r>
          <w:r>
            <w:t>1</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"_Toc87642125" </w:instrText>
          </w:r>
          <w:r>
            <w:fldChar w:fldCharType="separate"/>
          </w:r>
          <w:r>
            <w:rPr>
              <w:rStyle w:val="16"/>
              <w:rFonts w:hint="eastAsia" w:ascii="黑体" w:hAnsi="黑体" w:eastAsia="黑体" w:cs="黑体"/>
              <w:b/>
              <w:kern w:val="44"/>
            </w:rPr>
            <w:t>三、修业年限</w:t>
          </w:r>
          <w:r>
            <w:tab/>
          </w:r>
          <w:r>
            <w:fldChar w:fldCharType="begin"/>
          </w:r>
          <w:r>
            <w:instrText xml:space="preserve"> PAGEREF _Toc87642125 \h </w:instrText>
          </w:r>
          <w:r>
            <w:fldChar w:fldCharType="separate"/>
          </w:r>
          <w:r>
            <w:t>1</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"_Toc87642126" </w:instrText>
          </w:r>
          <w:r>
            <w:fldChar w:fldCharType="separate"/>
          </w:r>
          <w:r>
            <w:rPr>
              <w:rStyle w:val="16"/>
              <w:rFonts w:hint="eastAsia" w:ascii="黑体" w:hAnsi="黑体" w:eastAsia="黑体" w:cs="黑体"/>
              <w:b/>
              <w:kern w:val="44"/>
            </w:rPr>
            <w:t>四、职业面向</w:t>
          </w:r>
          <w:r>
            <w:tab/>
          </w:r>
          <w:r>
            <w:fldChar w:fldCharType="begin"/>
          </w:r>
          <w:r>
            <w:instrText xml:space="preserve"> PAGEREF _Toc87642126 \h </w:instrText>
          </w:r>
          <w:r>
            <w:fldChar w:fldCharType="separate"/>
          </w:r>
          <w:r>
            <w:t>1</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"_Toc87642127" </w:instrText>
          </w:r>
          <w:r>
            <w:fldChar w:fldCharType="separate"/>
          </w:r>
          <w:r>
            <w:rPr>
              <w:rStyle w:val="16"/>
              <w:rFonts w:hint="eastAsia" w:ascii="宋体" w:hAnsi="宋体" w:eastAsia="宋体" w:cs="宋体"/>
              <w:b/>
            </w:rPr>
            <w:t>（一）</w:t>
          </w:r>
          <w:r>
            <w:rPr>
              <w:rStyle w:val="16"/>
              <w:rFonts w:hint="eastAsia" w:ascii="宋体" w:hAnsi="宋体" w:eastAsia="宋体" w:cs="宋体"/>
              <w:b/>
              <w:bCs/>
            </w:rPr>
            <w:t>职业面向</w:t>
          </w:r>
          <w:r>
            <w:tab/>
          </w:r>
          <w:r>
            <w:fldChar w:fldCharType="begin"/>
          </w:r>
          <w:r>
            <w:instrText xml:space="preserve"> PAGEREF _Toc87642127 \h </w:instrText>
          </w:r>
          <w:r>
            <w:fldChar w:fldCharType="separate"/>
          </w:r>
          <w:r>
            <w:t>1</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"_Toc87642128" </w:instrText>
          </w:r>
          <w:r>
            <w:fldChar w:fldCharType="separate"/>
          </w:r>
          <w:r>
            <w:rPr>
              <w:rStyle w:val="16"/>
              <w:rFonts w:hint="eastAsia" w:ascii="宋体" w:hAnsi="宋体" w:eastAsia="宋体" w:cs="宋体"/>
              <w:b/>
              <w:kern w:val="44"/>
            </w:rPr>
            <w:t>（二）职业岗位（群）与能力分析</w:t>
          </w:r>
          <w:r>
            <w:tab/>
          </w:r>
          <w:r>
            <w:fldChar w:fldCharType="begin"/>
          </w:r>
          <w:r>
            <w:instrText xml:space="preserve"> PAGEREF _Toc87642128 \h </w:instrText>
          </w:r>
          <w:r>
            <w:fldChar w:fldCharType="separate"/>
          </w:r>
          <w:r>
            <w:t>2</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"_Toc87642129" </w:instrText>
          </w:r>
          <w:r>
            <w:fldChar w:fldCharType="separate"/>
          </w:r>
          <w:r>
            <w:rPr>
              <w:rStyle w:val="16"/>
              <w:rFonts w:hint="eastAsia" w:ascii="黑体" w:hAnsi="黑体" w:eastAsia="黑体" w:cs="黑体"/>
              <w:b/>
              <w:kern w:val="44"/>
            </w:rPr>
            <w:t>五、人才培养目标与培养规格</w:t>
          </w:r>
          <w:r>
            <w:tab/>
          </w:r>
          <w:r>
            <w:fldChar w:fldCharType="begin"/>
          </w:r>
          <w:r>
            <w:instrText xml:space="preserve"> PAGEREF _Toc87642129 \h </w:instrText>
          </w:r>
          <w:r>
            <w:fldChar w:fldCharType="separate"/>
          </w:r>
          <w:r>
            <w:t>2</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"_Toc87642130" </w:instrText>
          </w:r>
          <w:r>
            <w:fldChar w:fldCharType="separate"/>
          </w:r>
          <w:r>
            <w:rPr>
              <w:rStyle w:val="16"/>
              <w:rFonts w:hint="eastAsia" w:ascii="宋体" w:hAnsi="宋体" w:eastAsia="宋体" w:cs="宋体"/>
              <w:b/>
            </w:rPr>
            <w:t>（一）人才培养目标</w:t>
          </w:r>
          <w:r>
            <w:tab/>
          </w:r>
          <w:r>
            <w:fldChar w:fldCharType="begin"/>
          </w:r>
          <w:r>
            <w:instrText xml:space="preserve"> PAGEREF _Toc87642130 \h </w:instrText>
          </w:r>
          <w:r>
            <w:fldChar w:fldCharType="separate"/>
          </w:r>
          <w:r>
            <w:t>2</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"_Toc87642131" </w:instrText>
          </w:r>
          <w:r>
            <w:fldChar w:fldCharType="separate"/>
          </w:r>
          <w:r>
            <w:rPr>
              <w:rStyle w:val="16"/>
              <w:rFonts w:hint="eastAsia" w:ascii="黑体" w:hAnsi="黑体" w:eastAsia="黑体" w:cs="黑体"/>
              <w:b/>
              <w:kern w:val="44"/>
            </w:rPr>
            <w:t>六、课程设置及要求</w:t>
          </w:r>
          <w:r>
            <w:tab/>
          </w:r>
          <w:r>
            <w:fldChar w:fldCharType="begin"/>
          </w:r>
          <w:r>
            <w:instrText xml:space="preserve"> PAGEREF _Toc87642131 \h </w:instrText>
          </w:r>
          <w:r>
            <w:fldChar w:fldCharType="separate"/>
          </w:r>
          <w:r>
            <w:t>3</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"_Toc87642132" </w:instrText>
          </w:r>
          <w:r>
            <w:fldChar w:fldCharType="separate"/>
          </w:r>
          <w:r>
            <w:rPr>
              <w:rStyle w:val="16"/>
              <w:rFonts w:hint="eastAsia" w:ascii="宋体" w:hAnsi="宋体" w:eastAsia="宋体" w:cs="宋体"/>
              <w:b/>
            </w:rPr>
            <w:t>（一）公共基础课程</w:t>
          </w:r>
          <w:r>
            <w:tab/>
          </w:r>
          <w:r>
            <w:fldChar w:fldCharType="begin"/>
          </w:r>
          <w:r>
            <w:instrText xml:space="preserve"> PAGEREF _Toc87642132 \h </w:instrText>
          </w:r>
          <w:r>
            <w:fldChar w:fldCharType="separate"/>
          </w:r>
          <w:r>
            <w:t>4</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"_Toc87642133" </w:instrText>
          </w:r>
          <w:r>
            <w:fldChar w:fldCharType="separate"/>
          </w:r>
          <w:r>
            <w:rPr>
              <w:rStyle w:val="16"/>
              <w:rFonts w:hint="eastAsia" w:ascii="宋体" w:hAnsi="宋体" w:eastAsia="宋体" w:cs="宋体"/>
              <w:b/>
            </w:rPr>
            <w:t>（二）专业基础课程</w:t>
          </w:r>
          <w:r>
            <w:tab/>
          </w:r>
          <w:r>
            <w:fldChar w:fldCharType="begin"/>
          </w:r>
          <w:r>
            <w:instrText xml:space="preserve"> PAGEREF _Toc87642133 \h </w:instrText>
          </w:r>
          <w:r>
            <w:fldChar w:fldCharType="separate"/>
          </w:r>
          <w:r>
            <w:t>12</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"_Toc87642134" </w:instrText>
          </w:r>
          <w:r>
            <w:fldChar w:fldCharType="separate"/>
          </w:r>
          <w:r>
            <w:rPr>
              <w:rStyle w:val="16"/>
              <w:rFonts w:hint="eastAsia" w:ascii="宋体" w:hAnsi="宋体" w:eastAsia="宋体" w:cs="宋体"/>
              <w:b/>
            </w:rPr>
            <w:t>（三）专业技术课程</w:t>
          </w:r>
          <w:r>
            <w:tab/>
          </w:r>
          <w:r>
            <w:fldChar w:fldCharType="begin"/>
          </w:r>
          <w:r>
            <w:instrText xml:space="preserve"> PAGEREF _Toc87642134 \h </w:instrText>
          </w:r>
          <w:r>
            <w:fldChar w:fldCharType="separate"/>
          </w:r>
          <w:r>
            <w:t>13</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"_Toc87642135" </w:instrText>
          </w:r>
          <w:r>
            <w:fldChar w:fldCharType="separate"/>
          </w:r>
          <w:r>
            <w:rPr>
              <w:rStyle w:val="16"/>
              <w:rFonts w:hint="eastAsia" w:ascii="宋体" w:hAnsi="宋体" w:eastAsia="宋体" w:cs="宋体"/>
              <w:b/>
            </w:rPr>
            <w:t>（四）专业选修课</w:t>
          </w:r>
          <w:r>
            <w:tab/>
          </w:r>
          <w:r>
            <w:fldChar w:fldCharType="begin"/>
          </w:r>
          <w:r>
            <w:instrText xml:space="preserve"> PAGEREF _Toc87642135 \h </w:instrText>
          </w:r>
          <w:r>
            <w:fldChar w:fldCharType="separate"/>
          </w:r>
          <w:r>
            <w:t>15</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"_Toc87642136" </w:instrText>
          </w:r>
          <w:r>
            <w:fldChar w:fldCharType="separate"/>
          </w:r>
          <w:r>
            <w:rPr>
              <w:rStyle w:val="16"/>
              <w:rFonts w:hint="eastAsia" w:ascii="黑体" w:hAnsi="黑体" w:eastAsia="黑体" w:cs="黑体"/>
              <w:b/>
              <w:bCs/>
            </w:rPr>
            <w:t>七、教学进程总体安排</w:t>
          </w:r>
          <w:r>
            <w:tab/>
          </w:r>
          <w:r>
            <w:fldChar w:fldCharType="begin"/>
          </w:r>
          <w:r>
            <w:instrText xml:space="preserve"> PAGEREF _Toc87642136 \h </w:instrText>
          </w:r>
          <w:r>
            <w:fldChar w:fldCharType="separate"/>
          </w:r>
          <w:r>
            <w:t>15</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"_Toc87642137" </w:instrText>
          </w:r>
          <w:r>
            <w:fldChar w:fldCharType="separate"/>
          </w:r>
          <w:r>
            <w:rPr>
              <w:rStyle w:val="16"/>
              <w:rFonts w:hint="eastAsia" w:ascii="黑体" w:hAnsi="黑体" w:eastAsia="黑体" w:cs="黑体"/>
              <w:b/>
              <w:kern w:val="44"/>
            </w:rPr>
            <w:t>八、专业质量保障</w:t>
          </w:r>
          <w:r>
            <w:tab/>
          </w:r>
          <w:r>
            <w:fldChar w:fldCharType="begin"/>
          </w:r>
          <w:r>
            <w:instrText xml:space="preserve"> PAGEREF _Toc87642137 \h </w:instrText>
          </w:r>
          <w:r>
            <w:fldChar w:fldCharType="separate"/>
          </w:r>
          <w:r>
            <w:t>15</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"_Toc87642138" </w:instrText>
          </w:r>
          <w:r>
            <w:fldChar w:fldCharType="separate"/>
          </w:r>
          <w:r>
            <w:rPr>
              <w:rStyle w:val="16"/>
              <w:rFonts w:hint="eastAsia" w:ascii="宋体" w:hAnsi="宋体" w:eastAsia="宋体" w:cs="宋体"/>
              <w:b/>
            </w:rPr>
            <w:t>（一）师资队伍</w:t>
          </w:r>
          <w:r>
            <w:tab/>
          </w:r>
          <w:r>
            <w:fldChar w:fldCharType="begin"/>
          </w:r>
          <w:r>
            <w:instrText xml:space="preserve"> PAGEREF _Toc87642138 \h </w:instrText>
          </w:r>
          <w:r>
            <w:fldChar w:fldCharType="separate"/>
          </w:r>
          <w:r>
            <w:t>15</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"_Toc87642139" </w:instrText>
          </w:r>
          <w:r>
            <w:fldChar w:fldCharType="separate"/>
          </w:r>
          <w:r>
            <w:rPr>
              <w:rStyle w:val="16"/>
              <w:rFonts w:hint="eastAsia" w:ascii="宋体" w:hAnsi="宋体" w:eastAsia="宋体" w:cs="宋体"/>
              <w:b/>
            </w:rPr>
            <w:t>（二）教学设施</w:t>
          </w:r>
          <w:r>
            <w:tab/>
          </w:r>
          <w:r>
            <w:fldChar w:fldCharType="begin"/>
          </w:r>
          <w:r>
            <w:instrText xml:space="preserve"> PAGEREF _Toc87642139 \h </w:instrText>
          </w:r>
          <w:r>
            <w:fldChar w:fldCharType="separate"/>
          </w:r>
          <w:r>
            <w:t>16</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"_Toc87642140" </w:instrText>
          </w:r>
          <w:r>
            <w:fldChar w:fldCharType="separate"/>
          </w:r>
          <w:r>
            <w:rPr>
              <w:rStyle w:val="16"/>
              <w:rFonts w:hint="eastAsia" w:ascii="宋体" w:hAnsi="宋体" w:eastAsia="宋体" w:cs="宋体"/>
              <w:b/>
            </w:rPr>
            <w:t>（三）教学资源</w:t>
          </w:r>
          <w:r>
            <w:tab/>
          </w:r>
          <w:r>
            <w:fldChar w:fldCharType="begin"/>
          </w:r>
          <w:r>
            <w:instrText xml:space="preserve"> PAGEREF _Toc87642140 \h </w:instrText>
          </w:r>
          <w:r>
            <w:fldChar w:fldCharType="separate"/>
          </w:r>
          <w:r>
            <w:t>16</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"_Toc87642141" </w:instrText>
          </w:r>
          <w:r>
            <w:fldChar w:fldCharType="separate"/>
          </w:r>
          <w:r>
            <w:rPr>
              <w:rStyle w:val="16"/>
              <w:rFonts w:hint="eastAsia" w:ascii="宋体" w:hAnsi="宋体" w:eastAsia="宋体" w:cs="宋体"/>
              <w:b/>
              <w:bCs/>
            </w:rPr>
            <w:t>（四）教学方法</w:t>
          </w:r>
          <w:r>
            <w:tab/>
          </w:r>
          <w:r>
            <w:fldChar w:fldCharType="begin"/>
          </w:r>
          <w:r>
            <w:instrText xml:space="preserve"> PAGEREF _Toc87642141 \h </w:instrText>
          </w:r>
          <w:r>
            <w:fldChar w:fldCharType="separate"/>
          </w:r>
          <w:r>
            <w:t>16</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"_Toc87642142" </w:instrText>
          </w:r>
          <w:r>
            <w:fldChar w:fldCharType="separate"/>
          </w:r>
          <w:r>
            <w:rPr>
              <w:rStyle w:val="16"/>
              <w:rFonts w:hint="eastAsia" w:ascii="宋体" w:hAnsi="宋体" w:eastAsia="宋体" w:cs="宋体"/>
              <w:b/>
            </w:rPr>
            <w:t>（五）学习评价</w:t>
          </w:r>
          <w:r>
            <w:tab/>
          </w:r>
          <w:r>
            <w:fldChar w:fldCharType="begin"/>
          </w:r>
          <w:r>
            <w:instrText xml:space="preserve"> PAGEREF _Toc87642142 \h </w:instrText>
          </w:r>
          <w:r>
            <w:fldChar w:fldCharType="separate"/>
          </w:r>
          <w:r>
            <w:t>17</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"_Toc87642143" </w:instrText>
          </w:r>
          <w:r>
            <w:fldChar w:fldCharType="separate"/>
          </w:r>
          <w:r>
            <w:rPr>
              <w:rStyle w:val="16"/>
              <w:rFonts w:hint="eastAsia" w:ascii="黑体" w:hAnsi="黑体" w:cs="黑体"/>
            </w:rPr>
            <w:t>九、人才培养的实施保障</w:t>
          </w:r>
          <w:r>
            <w:tab/>
          </w:r>
          <w:r>
            <w:fldChar w:fldCharType="begin"/>
          </w:r>
          <w:r>
            <w:instrText xml:space="preserve"> PAGEREF _Toc87642143 \h </w:instrText>
          </w:r>
          <w:r>
            <w:fldChar w:fldCharType="separate"/>
          </w:r>
          <w:r>
            <w:t>18</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"_Toc87642144" </w:instrText>
          </w:r>
          <w:r>
            <w:fldChar w:fldCharType="separate"/>
          </w:r>
          <w:r>
            <w:rPr>
              <w:rStyle w:val="16"/>
              <w:rFonts w:hint="eastAsia" w:ascii="宋体" w:hAnsi="宋体" w:eastAsia="宋体" w:cs="宋体"/>
            </w:rPr>
            <w:t>（一）人才培养方案的实施</w:t>
          </w:r>
          <w:r>
            <w:tab/>
          </w:r>
          <w:r>
            <w:fldChar w:fldCharType="begin"/>
          </w:r>
          <w:r>
            <w:instrText xml:space="preserve"> PAGEREF _Toc87642144 \h </w:instrText>
          </w:r>
          <w:r>
            <w:fldChar w:fldCharType="separate"/>
          </w:r>
          <w:r>
            <w:t>18</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"_Toc87642145" </w:instrText>
          </w:r>
          <w:r>
            <w:fldChar w:fldCharType="separate"/>
          </w:r>
          <w:r>
            <w:rPr>
              <w:rStyle w:val="16"/>
              <w:rFonts w:hint="eastAsia" w:ascii="宋体" w:hAnsi="宋体" w:eastAsia="宋体" w:cs="宋体"/>
              <w:b/>
            </w:rPr>
            <w:t>（二）人才培养方案的条件保证</w:t>
          </w:r>
          <w:r>
            <w:tab/>
          </w:r>
          <w:r>
            <w:fldChar w:fldCharType="begin"/>
          </w:r>
          <w:r>
            <w:instrText xml:space="preserve"> PAGEREF _Toc87642145 \h </w:instrText>
          </w:r>
          <w:r>
            <w:fldChar w:fldCharType="separate"/>
          </w:r>
          <w:r>
            <w:t>18</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"_Toc87642146" </w:instrText>
          </w:r>
          <w:r>
            <w:fldChar w:fldCharType="separate"/>
          </w:r>
          <w:r>
            <w:rPr>
              <w:rStyle w:val="16"/>
              <w:rFonts w:hint="eastAsia" w:ascii="宋体" w:hAnsi="宋体" w:eastAsia="宋体" w:cs="宋体"/>
              <w:b/>
            </w:rPr>
            <w:t>（三）人才培养的质量保证</w:t>
          </w:r>
          <w:r>
            <w:tab/>
          </w:r>
          <w:r>
            <w:fldChar w:fldCharType="begin"/>
          </w:r>
          <w:r>
            <w:instrText xml:space="preserve"> PAGEREF _Toc87642146 \h </w:instrText>
          </w:r>
          <w:r>
            <w:fldChar w:fldCharType="separate"/>
          </w:r>
          <w:r>
            <w:t>19</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"_Toc87642147" </w:instrText>
          </w:r>
          <w:r>
            <w:fldChar w:fldCharType="separate"/>
          </w:r>
          <w:r>
            <w:rPr>
              <w:rStyle w:val="16"/>
              <w:rFonts w:hint="eastAsia" w:ascii="宋体" w:hAnsi="宋体" w:eastAsia="宋体" w:cs="宋体"/>
              <w:b/>
            </w:rPr>
            <w:t>（四）书证融通</w:t>
          </w:r>
          <w:r>
            <w:tab/>
          </w:r>
          <w:r>
            <w:fldChar w:fldCharType="begin"/>
          </w:r>
          <w:r>
            <w:instrText xml:space="preserve"> PAGEREF _Toc87642147 \h </w:instrText>
          </w:r>
          <w:r>
            <w:fldChar w:fldCharType="separate"/>
          </w:r>
          <w:r>
            <w:t>19</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"_Toc87642148" </w:instrText>
          </w:r>
          <w:r>
            <w:fldChar w:fldCharType="separate"/>
          </w:r>
          <w:r>
            <w:rPr>
              <w:rStyle w:val="16"/>
              <w:rFonts w:hint="eastAsia" w:ascii="黑体" w:hAnsi="黑体" w:eastAsia="黑体" w:cs="黑体"/>
              <w:b/>
              <w:kern w:val="44"/>
            </w:rPr>
            <w:t>十、毕业条件</w:t>
          </w:r>
          <w:r>
            <w:tab/>
          </w:r>
          <w:r>
            <w:fldChar w:fldCharType="begin"/>
          </w:r>
          <w:r>
            <w:instrText xml:space="preserve"> PAGEREF _Toc87642148 \h </w:instrText>
          </w:r>
          <w:r>
            <w:fldChar w:fldCharType="separate"/>
          </w:r>
          <w:r>
            <w:t>21</w:t>
          </w:r>
          <w:r>
            <w:fldChar w:fldCharType="end"/>
          </w:r>
          <w:r>
            <w:fldChar w:fldCharType="end"/>
          </w:r>
        </w:p>
        <w:p>
          <w:pPr>
            <w:pStyle w:val="8"/>
            <w:tabs>
              <w:tab w:val="right" w:leader="dot" w:pos="8302"/>
            </w:tabs>
            <w:spacing w:line="360" w:lineRule="exact"/>
            <w:rPr>
              <w:rFonts w:asciiTheme="minorHAnsi" w:hAnsiTheme="minorHAnsi" w:eastAsiaTheme="minorEastAsia" w:cstheme="minorBidi"/>
            </w:rPr>
          </w:pPr>
          <w:r>
            <w:fldChar w:fldCharType="begin"/>
          </w:r>
          <w:r>
            <w:instrText xml:space="preserve"> HYPERLINK \l "_Toc87642149" </w:instrText>
          </w:r>
          <w:r>
            <w:fldChar w:fldCharType="separate"/>
          </w:r>
          <w:r>
            <w:rPr>
              <w:rStyle w:val="16"/>
              <w:rFonts w:hint="eastAsia" w:ascii="黑体" w:hAnsi="黑体" w:eastAsia="黑体" w:cs="黑体"/>
              <w:b/>
              <w:kern w:val="44"/>
            </w:rPr>
            <w:t>十一、附录</w:t>
          </w:r>
          <w:r>
            <w:tab/>
          </w:r>
          <w:r>
            <w:fldChar w:fldCharType="begin"/>
          </w:r>
          <w:r>
            <w:instrText xml:space="preserve"> PAGEREF _Toc87642149 \h </w:instrText>
          </w:r>
          <w:r>
            <w:fldChar w:fldCharType="separate"/>
          </w:r>
          <w:r>
            <w:t>21</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"_Toc87642150" </w:instrText>
          </w:r>
          <w:r>
            <w:fldChar w:fldCharType="separate"/>
          </w:r>
          <w:r>
            <w:rPr>
              <w:rStyle w:val="16"/>
              <w:rFonts w:hint="eastAsia" w:ascii="宋体" w:hAnsi="宋体" w:eastAsia="宋体" w:cs="宋体"/>
              <w:b/>
            </w:rPr>
            <w:t>（一）调研目的</w:t>
          </w:r>
          <w:r>
            <w:tab/>
          </w:r>
          <w:r>
            <w:fldChar w:fldCharType="begin"/>
          </w:r>
          <w:r>
            <w:instrText xml:space="preserve"> PAGEREF _Toc87642150 \h </w:instrText>
          </w:r>
          <w:r>
            <w:fldChar w:fldCharType="separate"/>
          </w:r>
          <w:r>
            <w:t>22</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"_Toc87642151" </w:instrText>
          </w:r>
          <w:r>
            <w:fldChar w:fldCharType="separate"/>
          </w:r>
          <w:r>
            <w:rPr>
              <w:rStyle w:val="16"/>
              <w:rFonts w:hint="eastAsia" w:ascii="宋体" w:hAnsi="宋体" w:eastAsia="宋体" w:cs="宋体"/>
              <w:b/>
            </w:rPr>
            <w:t>（二）基本情况</w:t>
          </w:r>
          <w:r>
            <w:tab/>
          </w:r>
          <w:r>
            <w:fldChar w:fldCharType="begin"/>
          </w:r>
          <w:r>
            <w:instrText xml:space="preserve"> PAGEREF _Toc87642151 \h </w:instrText>
          </w:r>
          <w:r>
            <w:fldChar w:fldCharType="separate"/>
          </w:r>
          <w:r>
            <w:t>22</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"_Toc87642152" </w:instrText>
          </w:r>
          <w:r>
            <w:fldChar w:fldCharType="separate"/>
          </w:r>
          <w:r>
            <w:rPr>
              <w:rStyle w:val="16"/>
              <w:rFonts w:hint="eastAsia" w:ascii="宋体" w:hAnsi="宋体" w:eastAsia="宋体" w:cs="宋体"/>
              <w:b/>
            </w:rPr>
            <w:t>（三）主要内容</w:t>
          </w:r>
          <w:r>
            <w:tab/>
          </w:r>
          <w:r>
            <w:fldChar w:fldCharType="begin"/>
          </w:r>
          <w:r>
            <w:instrText xml:space="preserve"> PAGEREF _Toc87642152 \h </w:instrText>
          </w:r>
          <w:r>
            <w:fldChar w:fldCharType="separate"/>
          </w:r>
          <w:r>
            <w:t>24</w:t>
          </w:r>
          <w:r>
            <w:fldChar w:fldCharType="end"/>
          </w:r>
          <w:r>
            <w:fldChar w:fldCharType="end"/>
          </w:r>
        </w:p>
        <w:p>
          <w:pPr>
            <w:pStyle w:val="9"/>
            <w:tabs>
              <w:tab w:val="right" w:leader="dot" w:pos="8302"/>
            </w:tabs>
            <w:spacing w:line="360" w:lineRule="exact"/>
            <w:ind w:left="426"/>
            <w:rPr>
              <w:rFonts w:asciiTheme="minorHAnsi" w:hAnsiTheme="minorHAnsi" w:eastAsiaTheme="minorEastAsia" w:cstheme="minorBidi"/>
            </w:rPr>
          </w:pPr>
          <w:r>
            <w:fldChar w:fldCharType="begin"/>
          </w:r>
          <w:r>
            <w:instrText xml:space="preserve"> HYPERLINK \l "_Toc87642153" </w:instrText>
          </w:r>
          <w:r>
            <w:fldChar w:fldCharType="separate"/>
          </w:r>
          <w:r>
            <w:rPr>
              <w:rStyle w:val="16"/>
              <w:rFonts w:hint="eastAsia" w:ascii="宋体" w:hAnsi="宋体" w:eastAsia="宋体" w:cs="宋体"/>
              <w:b/>
            </w:rPr>
            <w:t>（四）调研结论</w:t>
          </w:r>
          <w:r>
            <w:tab/>
          </w:r>
          <w:r>
            <w:fldChar w:fldCharType="begin"/>
          </w:r>
          <w:r>
            <w:instrText xml:space="preserve"> PAGEREF _Toc87642153 \h </w:instrText>
          </w:r>
          <w:r>
            <w:fldChar w:fldCharType="separate"/>
          </w:r>
          <w:r>
            <w:t>26</w:t>
          </w:r>
          <w:r>
            <w:fldChar w:fldCharType="end"/>
          </w:r>
          <w:r>
            <w:fldChar w:fldCharType="end"/>
          </w:r>
        </w:p>
        <w:p>
          <w:pPr>
            <w:pStyle w:val="8"/>
            <w:tabs>
              <w:tab w:val="right" w:leader="dot" w:pos="8302"/>
            </w:tabs>
            <w:rPr>
              <w:rFonts w:asciiTheme="minorHAnsi" w:hAnsiTheme="minorHAnsi" w:eastAsiaTheme="minorEastAsia" w:cstheme="minorBidi"/>
            </w:rPr>
          </w:pPr>
        </w:p>
        <w:p>
          <w:pPr>
            <w:spacing w:line="360" w:lineRule="auto"/>
            <w:rPr>
              <w:rFonts w:ascii="宋体" w:hAnsi="宋体" w:eastAsia="宋体" w:cs="宋体"/>
              <w:szCs w:val="21"/>
            </w:rPr>
            <w:sectPr>
              <w:headerReference r:id="rId7" w:type="default"/>
              <w:footerReference r:id="rId8" w:type="default"/>
              <w:pgSz w:w="11906" w:h="16838"/>
              <w:pgMar w:top="1440" w:right="1797" w:bottom="1440" w:left="1797" w:header="851" w:footer="992" w:gutter="0"/>
              <w:pgNumType w:start="1"/>
              <w:cols w:space="720" w:num="1"/>
              <w:docGrid w:type="linesAndChars" w:linePitch="319" w:charSpace="640"/>
            </w:sectPr>
          </w:pPr>
          <w:r>
            <w:rPr>
              <w:rFonts w:hint="eastAsia" w:ascii="宋体" w:hAnsi="宋体" w:eastAsia="宋体" w:cs="宋体"/>
              <w:b/>
              <w:szCs w:val="21"/>
            </w:rPr>
            <w:fldChar w:fldCharType="end"/>
          </w:r>
        </w:p>
      </w:sdtContent>
    </w:sdt>
    <w:p>
      <w:pPr>
        <w:pStyle w:val="8"/>
        <w:tabs>
          <w:tab w:val="right" w:leader="dot" w:pos="9060"/>
        </w:tabs>
        <w:spacing w:line="480" w:lineRule="exact"/>
        <w:jc w:val="center"/>
        <w:outlineLvl w:val="0"/>
        <w:rPr>
          <w:rFonts w:ascii="黑体" w:hAnsi="黑体" w:eastAsia="黑体" w:cs="宋体"/>
          <w:b/>
          <w:bCs/>
          <w:sz w:val="32"/>
          <w:szCs w:val="32"/>
        </w:rPr>
      </w:pPr>
      <w:bookmarkStart w:id="2" w:name="_Toc87642122"/>
      <w:r>
        <w:rPr>
          <w:rFonts w:hint="eastAsia" w:ascii="黑体" w:hAnsi="黑体" w:eastAsia="黑体" w:cs="宋体"/>
          <w:b/>
          <w:bCs/>
          <w:sz w:val="32"/>
          <w:szCs w:val="32"/>
        </w:rPr>
        <w:t>学前教育专业人才培养方案</w:t>
      </w:r>
      <w:bookmarkEnd w:id="2"/>
    </w:p>
    <w:p>
      <w:pPr>
        <w:spacing w:line="360" w:lineRule="auto"/>
        <w:outlineLvl w:val="0"/>
        <w:rPr>
          <w:rFonts w:ascii="黑体" w:hAnsi="黑体" w:eastAsia="黑体" w:cs="黑体"/>
          <w:b/>
          <w:kern w:val="44"/>
          <w:sz w:val="28"/>
          <w:szCs w:val="28"/>
        </w:rPr>
      </w:pPr>
      <w:bookmarkStart w:id="3" w:name="_Toc485895157"/>
      <w:bookmarkStart w:id="4" w:name="_Toc87642123"/>
      <w:r>
        <w:rPr>
          <w:rFonts w:hint="eastAsia" w:ascii="黑体" w:hAnsi="黑体" w:eastAsia="黑体" w:cs="黑体"/>
          <w:b/>
          <w:kern w:val="44"/>
          <w:sz w:val="28"/>
          <w:szCs w:val="28"/>
        </w:rPr>
        <w:t>一、专业名称及专业代码</w:t>
      </w:r>
      <w:bookmarkEnd w:id="3"/>
      <w:bookmarkEnd w:id="4"/>
    </w:p>
    <w:p>
      <w:pPr>
        <w:adjustRightInd w:val="0"/>
        <w:snapToGrid w:val="0"/>
        <w:spacing w:line="360" w:lineRule="auto"/>
        <w:ind w:firstLine="566" w:firstLineChars="200"/>
        <w:rPr>
          <w:rFonts w:ascii="宋体" w:hAnsi="宋体" w:eastAsia="宋体" w:cs="宋体"/>
          <w:sz w:val="28"/>
          <w:szCs w:val="28"/>
        </w:rPr>
      </w:pPr>
      <w:r>
        <w:rPr>
          <w:rFonts w:hint="eastAsia" w:ascii="宋体" w:hAnsi="宋体" w:eastAsia="宋体" w:cs="宋体"/>
          <w:b/>
          <w:sz w:val="28"/>
          <w:szCs w:val="28"/>
        </w:rPr>
        <w:t>（一）专业名称：</w:t>
      </w:r>
      <w:r>
        <w:rPr>
          <w:rFonts w:hint="eastAsia" w:ascii="宋体" w:hAnsi="宋体" w:eastAsia="宋体" w:cs="宋体"/>
          <w:sz w:val="28"/>
          <w:szCs w:val="28"/>
        </w:rPr>
        <w:t>学前教育</w:t>
      </w:r>
    </w:p>
    <w:p>
      <w:pPr>
        <w:adjustRightInd w:val="0"/>
        <w:snapToGrid w:val="0"/>
        <w:spacing w:line="360" w:lineRule="auto"/>
        <w:ind w:firstLine="566" w:firstLineChars="200"/>
        <w:rPr>
          <w:rFonts w:ascii="宋体" w:hAnsi="宋体" w:eastAsia="宋体" w:cs="宋体"/>
          <w:sz w:val="28"/>
          <w:szCs w:val="28"/>
        </w:rPr>
      </w:pPr>
      <w:r>
        <w:rPr>
          <w:rFonts w:hint="eastAsia" w:ascii="宋体" w:hAnsi="宋体" w:eastAsia="宋体" w:cs="宋体"/>
          <w:b/>
          <w:sz w:val="28"/>
          <w:szCs w:val="28"/>
        </w:rPr>
        <w:t>（二）专业代码：5</w:t>
      </w:r>
      <w:r>
        <w:rPr>
          <w:rFonts w:hint="eastAsia" w:ascii="宋体" w:hAnsi="宋体" w:eastAsia="宋体" w:cs="宋体"/>
          <w:sz w:val="28"/>
          <w:szCs w:val="28"/>
        </w:rPr>
        <w:t>70102K</w:t>
      </w:r>
    </w:p>
    <w:bookmarkEnd w:id="0"/>
    <w:bookmarkEnd w:id="1"/>
    <w:p>
      <w:pPr>
        <w:adjustRightInd w:val="0"/>
        <w:snapToGrid w:val="0"/>
        <w:spacing w:line="360" w:lineRule="auto"/>
        <w:outlineLvl w:val="0"/>
        <w:rPr>
          <w:rFonts w:ascii="宋体" w:hAnsi="宋体" w:eastAsia="宋体" w:cs="宋体"/>
          <w:b/>
          <w:bCs/>
          <w:sz w:val="28"/>
          <w:szCs w:val="28"/>
        </w:rPr>
      </w:pPr>
      <w:bookmarkStart w:id="5" w:name="_Toc485895158"/>
      <w:bookmarkStart w:id="6" w:name="_Toc87642124"/>
      <w:r>
        <w:rPr>
          <w:rFonts w:hint="eastAsia" w:ascii="黑体" w:hAnsi="黑体" w:eastAsia="黑体" w:cs="黑体"/>
          <w:b/>
          <w:kern w:val="44"/>
          <w:sz w:val="28"/>
          <w:szCs w:val="28"/>
        </w:rPr>
        <w:t>二、</w:t>
      </w:r>
      <w:bookmarkEnd w:id="5"/>
      <w:r>
        <w:rPr>
          <w:rFonts w:hint="eastAsia" w:ascii="黑体" w:hAnsi="黑体" w:eastAsia="黑体" w:cs="黑体"/>
          <w:b/>
          <w:kern w:val="44"/>
          <w:sz w:val="28"/>
          <w:szCs w:val="28"/>
        </w:rPr>
        <w:t>入学要求</w:t>
      </w:r>
      <w:bookmarkEnd w:id="6"/>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普通</w:t>
      </w:r>
      <w:r>
        <w:rPr>
          <w:rFonts w:ascii="宋体" w:hAnsi="宋体" w:eastAsia="宋体" w:cs="宋体"/>
          <w:sz w:val="28"/>
          <w:szCs w:val="28"/>
        </w:rPr>
        <w:t>高级中学</w:t>
      </w:r>
      <w:r>
        <w:rPr>
          <w:rFonts w:hint="eastAsia" w:ascii="宋体" w:hAnsi="宋体" w:eastAsia="宋体" w:cs="宋体"/>
          <w:sz w:val="28"/>
          <w:szCs w:val="28"/>
        </w:rPr>
        <w:t>毕业</w:t>
      </w:r>
      <w:r>
        <w:rPr>
          <w:rFonts w:ascii="宋体" w:hAnsi="宋体" w:eastAsia="宋体" w:cs="宋体"/>
          <w:sz w:val="28"/>
          <w:szCs w:val="28"/>
        </w:rPr>
        <w:t>、</w:t>
      </w:r>
      <w:r>
        <w:rPr>
          <w:rFonts w:hint="eastAsia" w:ascii="宋体" w:hAnsi="宋体" w:eastAsia="宋体" w:cs="宋体"/>
          <w:sz w:val="28"/>
          <w:szCs w:val="28"/>
        </w:rPr>
        <w:t>中等职业</w:t>
      </w:r>
      <w:r>
        <w:rPr>
          <w:rFonts w:ascii="宋体" w:hAnsi="宋体" w:eastAsia="宋体" w:cs="宋体"/>
          <w:sz w:val="28"/>
          <w:szCs w:val="28"/>
        </w:rPr>
        <w:t>学校</w:t>
      </w:r>
      <w:r>
        <w:rPr>
          <w:rFonts w:hint="eastAsia" w:ascii="宋体" w:hAnsi="宋体" w:eastAsia="宋体" w:cs="宋体"/>
          <w:sz w:val="28"/>
          <w:szCs w:val="28"/>
        </w:rPr>
        <w:t>毕业</w:t>
      </w:r>
      <w:r>
        <w:rPr>
          <w:rFonts w:ascii="宋体" w:hAnsi="宋体" w:eastAsia="宋体" w:cs="宋体"/>
          <w:sz w:val="28"/>
          <w:szCs w:val="28"/>
        </w:rPr>
        <w:t>或</w:t>
      </w:r>
      <w:r>
        <w:rPr>
          <w:rFonts w:hint="eastAsia" w:ascii="宋体" w:hAnsi="宋体" w:eastAsia="宋体" w:cs="宋体"/>
          <w:sz w:val="28"/>
          <w:szCs w:val="28"/>
        </w:rPr>
        <w:t>具备</w:t>
      </w:r>
      <w:r>
        <w:rPr>
          <w:rFonts w:ascii="宋体" w:hAnsi="宋体" w:eastAsia="宋体" w:cs="宋体"/>
          <w:sz w:val="28"/>
          <w:szCs w:val="28"/>
        </w:rPr>
        <w:t>同等学力者</w:t>
      </w:r>
      <w:r>
        <w:rPr>
          <w:rFonts w:hint="eastAsia" w:ascii="宋体" w:hAnsi="宋体" w:eastAsia="宋体" w:cs="宋体"/>
          <w:sz w:val="28"/>
          <w:szCs w:val="28"/>
        </w:rPr>
        <w:t>。</w:t>
      </w:r>
    </w:p>
    <w:p>
      <w:pPr>
        <w:adjustRightInd w:val="0"/>
        <w:snapToGrid w:val="0"/>
        <w:spacing w:line="360" w:lineRule="auto"/>
        <w:outlineLvl w:val="0"/>
        <w:rPr>
          <w:rFonts w:ascii="黑体" w:hAnsi="黑体" w:eastAsia="黑体" w:cs="黑体"/>
          <w:b/>
          <w:bCs/>
          <w:sz w:val="28"/>
          <w:szCs w:val="28"/>
        </w:rPr>
      </w:pPr>
      <w:bookmarkStart w:id="7" w:name="_Toc87642125"/>
      <w:bookmarkStart w:id="8" w:name="_Toc7825"/>
      <w:bookmarkStart w:id="9" w:name="_Toc20315"/>
      <w:r>
        <w:rPr>
          <w:rFonts w:hint="eastAsia" w:ascii="黑体" w:hAnsi="黑体" w:eastAsia="黑体" w:cs="黑体"/>
          <w:b/>
          <w:kern w:val="44"/>
          <w:sz w:val="28"/>
          <w:szCs w:val="28"/>
        </w:rPr>
        <w:t>三、修业</w:t>
      </w:r>
      <w:r>
        <w:rPr>
          <w:rFonts w:ascii="黑体" w:hAnsi="黑体" w:eastAsia="黑体" w:cs="黑体"/>
          <w:b/>
          <w:kern w:val="44"/>
          <w:sz w:val="28"/>
          <w:szCs w:val="28"/>
        </w:rPr>
        <w:t>年限</w:t>
      </w:r>
      <w:bookmarkEnd w:id="7"/>
    </w:p>
    <w:p>
      <w:pPr>
        <w:adjustRightInd w:val="0"/>
        <w:snapToGrid w:val="0"/>
        <w:spacing w:line="360" w:lineRule="auto"/>
        <w:ind w:firstLine="566" w:firstLineChars="200"/>
        <w:rPr>
          <w:rFonts w:ascii="宋体" w:hAnsi="宋体" w:eastAsia="宋体" w:cs="宋体"/>
          <w:sz w:val="28"/>
          <w:szCs w:val="28"/>
        </w:rPr>
      </w:pPr>
      <w:r>
        <w:rPr>
          <w:rFonts w:ascii="宋体" w:hAnsi="宋体" w:eastAsia="宋体" w:cs="宋体"/>
          <w:sz w:val="28"/>
          <w:szCs w:val="28"/>
        </w:rPr>
        <w:t>三年</w:t>
      </w:r>
      <w:r>
        <w:rPr>
          <w:rFonts w:hint="eastAsia" w:ascii="宋体" w:hAnsi="宋体" w:eastAsia="宋体" w:cs="宋体"/>
          <w:sz w:val="28"/>
          <w:szCs w:val="28"/>
        </w:rPr>
        <w:t>。</w:t>
      </w:r>
    </w:p>
    <w:bookmarkEnd w:id="8"/>
    <w:p>
      <w:pPr>
        <w:adjustRightInd w:val="0"/>
        <w:snapToGrid w:val="0"/>
        <w:spacing w:line="360" w:lineRule="auto"/>
        <w:outlineLvl w:val="0"/>
        <w:rPr>
          <w:rFonts w:ascii="黑体" w:hAnsi="黑体" w:eastAsia="黑体" w:cs="黑体"/>
          <w:b/>
          <w:bCs/>
          <w:sz w:val="28"/>
          <w:szCs w:val="28"/>
        </w:rPr>
      </w:pPr>
      <w:bookmarkStart w:id="10" w:name="_Toc485895159"/>
      <w:bookmarkStart w:id="11" w:name="_Toc87642126"/>
      <w:r>
        <w:rPr>
          <w:rFonts w:hint="eastAsia" w:ascii="黑体" w:hAnsi="黑体" w:eastAsia="黑体" w:cs="黑体"/>
          <w:b/>
          <w:kern w:val="44"/>
          <w:sz w:val="28"/>
          <w:szCs w:val="28"/>
        </w:rPr>
        <w:t>四、职业面向</w:t>
      </w:r>
      <w:bookmarkEnd w:id="10"/>
      <w:bookmarkEnd w:id="11"/>
    </w:p>
    <w:tbl>
      <w:tblPr>
        <w:tblStyle w:val="91"/>
        <w:tblpPr w:leftFromText="180" w:rightFromText="180" w:vertAnchor="text" w:horzAnchor="page" w:tblpX="1274" w:tblpY="546"/>
        <w:tblOverlap w:val="never"/>
        <w:tblW w:w="9234" w:type="dxa"/>
        <w:tblInd w:w="0" w:type="dxa"/>
        <w:tblLayout w:type="fixed"/>
        <w:tblCellMar>
          <w:top w:w="149" w:type="dxa"/>
          <w:left w:w="106" w:type="dxa"/>
          <w:bottom w:w="41" w:type="dxa"/>
          <w:right w:w="0" w:type="dxa"/>
        </w:tblCellMar>
      </w:tblPr>
      <w:tblGrid>
        <w:gridCol w:w="1393"/>
        <w:gridCol w:w="1256"/>
        <w:gridCol w:w="1020"/>
        <w:gridCol w:w="1480"/>
        <w:gridCol w:w="2471"/>
        <w:gridCol w:w="1614"/>
      </w:tblGrid>
      <w:tr>
        <w:tblPrEx>
          <w:tblCellMar>
            <w:top w:w="149" w:type="dxa"/>
            <w:left w:w="106" w:type="dxa"/>
            <w:bottom w:w="41" w:type="dxa"/>
            <w:right w:w="0" w:type="dxa"/>
          </w:tblCellMar>
        </w:tblPrEx>
        <w:trPr>
          <w:trHeight w:val="1216" w:hRule="atLeast"/>
        </w:trPr>
        <w:tc>
          <w:tcPr>
            <w:tcW w:w="13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center"/>
              <w:rPr>
                <w:rFonts w:ascii="宋体" w:hAnsi="宋体" w:eastAsia="宋体"/>
                <w:color w:val="000000"/>
                <w:sz w:val="18"/>
                <w:szCs w:val="18"/>
              </w:rPr>
            </w:pPr>
            <w:r>
              <w:rPr>
                <w:rFonts w:ascii="宋体" w:hAnsi="宋体" w:eastAsia="宋体"/>
                <w:color w:val="000000"/>
                <w:sz w:val="18"/>
                <w:szCs w:val="18"/>
              </w:rPr>
              <w:t>所属专业大类</w:t>
            </w:r>
          </w:p>
          <w:p>
            <w:pPr>
              <w:adjustRightInd w:val="0"/>
              <w:snapToGrid w:val="0"/>
              <w:spacing w:line="500" w:lineRule="exact"/>
              <w:ind w:left="2"/>
              <w:jc w:val="center"/>
              <w:rPr>
                <w:rFonts w:ascii="宋体" w:hAnsi="宋体" w:eastAsia="宋体"/>
                <w:color w:val="000000"/>
                <w:sz w:val="18"/>
                <w:szCs w:val="18"/>
              </w:rPr>
            </w:pPr>
            <w:r>
              <w:rPr>
                <w:rFonts w:ascii="宋体" w:hAnsi="宋体" w:eastAsia="宋体"/>
                <w:color w:val="000000"/>
                <w:sz w:val="18"/>
                <w:szCs w:val="18"/>
              </w:rPr>
              <w:t>（代码）</w:t>
            </w:r>
          </w:p>
        </w:tc>
        <w:tc>
          <w:tcPr>
            <w:tcW w:w="12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center"/>
              <w:rPr>
                <w:rFonts w:ascii="宋体" w:hAnsi="宋体" w:eastAsia="宋体"/>
                <w:color w:val="000000"/>
                <w:sz w:val="18"/>
                <w:szCs w:val="18"/>
              </w:rPr>
            </w:pPr>
            <w:r>
              <w:rPr>
                <w:rFonts w:ascii="宋体" w:hAnsi="宋体" w:eastAsia="宋体"/>
                <w:color w:val="000000"/>
                <w:sz w:val="18"/>
                <w:szCs w:val="18"/>
              </w:rPr>
              <w:t>所属专业类</w:t>
            </w:r>
          </w:p>
          <w:p>
            <w:pPr>
              <w:adjustRightInd w:val="0"/>
              <w:snapToGrid w:val="0"/>
              <w:spacing w:line="500" w:lineRule="exact"/>
              <w:ind w:left="2"/>
              <w:jc w:val="center"/>
              <w:rPr>
                <w:rFonts w:ascii="宋体" w:hAnsi="宋体" w:eastAsia="宋体"/>
                <w:color w:val="000000"/>
                <w:sz w:val="18"/>
                <w:szCs w:val="18"/>
              </w:rPr>
            </w:pPr>
            <w:r>
              <w:rPr>
                <w:rFonts w:hint="eastAsia" w:ascii="宋体" w:hAnsi="宋体" w:eastAsia="宋体"/>
                <w:color w:val="000000"/>
                <w:sz w:val="18"/>
                <w:szCs w:val="18"/>
              </w:rPr>
              <w:t>（</w:t>
            </w:r>
            <w:r>
              <w:rPr>
                <w:rFonts w:ascii="宋体" w:hAnsi="宋体" w:eastAsia="宋体"/>
                <w:color w:val="000000"/>
                <w:sz w:val="18"/>
                <w:szCs w:val="18"/>
              </w:rPr>
              <w:t>代码）</w:t>
            </w:r>
          </w:p>
        </w:tc>
        <w:tc>
          <w:tcPr>
            <w:tcW w:w="10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ind w:left="5" w:right="119"/>
              <w:jc w:val="center"/>
              <w:rPr>
                <w:rFonts w:ascii="宋体" w:hAnsi="宋体" w:eastAsia="宋体"/>
                <w:color w:val="000000"/>
                <w:sz w:val="18"/>
                <w:szCs w:val="18"/>
              </w:rPr>
            </w:pPr>
            <w:bookmarkStart w:id="12" w:name="_Hlk503721066"/>
            <w:r>
              <w:rPr>
                <w:rFonts w:ascii="宋体" w:hAnsi="宋体" w:eastAsia="宋体"/>
                <w:color w:val="000000"/>
                <w:sz w:val="18"/>
                <w:szCs w:val="18"/>
              </w:rPr>
              <w:t>对应行业</w:t>
            </w:r>
          </w:p>
          <w:p>
            <w:pPr>
              <w:adjustRightInd w:val="0"/>
              <w:snapToGrid w:val="0"/>
              <w:spacing w:line="500" w:lineRule="exact"/>
              <w:ind w:left="2"/>
              <w:jc w:val="center"/>
              <w:rPr>
                <w:rFonts w:ascii="宋体" w:hAnsi="宋体" w:eastAsia="宋体"/>
                <w:color w:val="000000"/>
                <w:sz w:val="18"/>
                <w:szCs w:val="18"/>
              </w:rPr>
            </w:pPr>
            <w:r>
              <w:rPr>
                <w:rFonts w:ascii="宋体" w:hAnsi="宋体" w:eastAsia="宋体"/>
                <w:color w:val="000000"/>
                <w:sz w:val="18"/>
                <w:szCs w:val="18"/>
              </w:rPr>
              <w:t>（代码）</w:t>
            </w:r>
            <w:bookmarkEnd w:id="12"/>
          </w:p>
        </w:tc>
        <w:tc>
          <w:tcPr>
            <w:tcW w:w="14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83" w:line="500" w:lineRule="exact"/>
              <w:ind w:right="120"/>
              <w:jc w:val="center"/>
              <w:rPr>
                <w:rFonts w:ascii="宋体" w:hAnsi="宋体" w:eastAsia="宋体"/>
                <w:color w:val="000000"/>
                <w:sz w:val="18"/>
                <w:szCs w:val="18"/>
              </w:rPr>
            </w:pPr>
            <w:r>
              <w:rPr>
                <w:rFonts w:ascii="宋体" w:hAnsi="宋体" w:eastAsia="宋体"/>
                <w:color w:val="000000"/>
                <w:sz w:val="18"/>
                <w:szCs w:val="18"/>
              </w:rPr>
              <w:t>主要职业类别</w:t>
            </w:r>
          </w:p>
          <w:p>
            <w:pPr>
              <w:adjustRightInd w:val="0"/>
              <w:snapToGrid w:val="0"/>
              <w:spacing w:line="500" w:lineRule="exact"/>
              <w:ind w:right="114"/>
              <w:jc w:val="center"/>
              <w:rPr>
                <w:rFonts w:ascii="宋体" w:hAnsi="宋体" w:eastAsia="宋体"/>
                <w:color w:val="000000"/>
                <w:sz w:val="18"/>
                <w:szCs w:val="18"/>
              </w:rPr>
            </w:pPr>
            <w:r>
              <w:rPr>
                <w:rFonts w:ascii="宋体" w:hAnsi="宋体" w:eastAsia="宋体"/>
                <w:color w:val="000000"/>
                <w:sz w:val="18"/>
                <w:szCs w:val="18"/>
              </w:rPr>
              <w:t>（代码）</w:t>
            </w:r>
          </w:p>
        </w:tc>
        <w:tc>
          <w:tcPr>
            <w:tcW w:w="247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ind w:right="9"/>
              <w:jc w:val="center"/>
              <w:rPr>
                <w:rFonts w:ascii="宋体" w:hAnsi="宋体" w:eastAsia="宋体"/>
                <w:color w:val="000000"/>
                <w:sz w:val="18"/>
                <w:szCs w:val="18"/>
              </w:rPr>
            </w:pPr>
            <w:r>
              <w:rPr>
                <w:rFonts w:ascii="宋体" w:hAnsi="宋体" w:eastAsia="宋体"/>
                <w:color w:val="000000"/>
                <w:sz w:val="18"/>
                <w:szCs w:val="18"/>
              </w:rPr>
              <w:t>主要岗位类别（或技术领域）举例</w:t>
            </w:r>
          </w:p>
        </w:tc>
        <w:tc>
          <w:tcPr>
            <w:tcW w:w="161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ind w:left="41" w:right="1" w:hanging="39"/>
              <w:jc w:val="center"/>
              <w:rPr>
                <w:rFonts w:ascii="宋体" w:hAnsi="宋体" w:eastAsia="宋体"/>
                <w:color w:val="000000"/>
                <w:sz w:val="18"/>
                <w:szCs w:val="18"/>
              </w:rPr>
            </w:pPr>
            <w:r>
              <w:rPr>
                <w:rFonts w:ascii="宋体" w:hAnsi="宋体" w:eastAsia="宋体"/>
                <w:color w:val="000000"/>
                <w:sz w:val="18"/>
                <w:szCs w:val="18"/>
              </w:rPr>
              <w:t>职业资格证书举例</w:t>
            </w:r>
          </w:p>
        </w:tc>
      </w:tr>
      <w:tr>
        <w:tblPrEx>
          <w:tblCellMar>
            <w:top w:w="149" w:type="dxa"/>
            <w:left w:w="106" w:type="dxa"/>
            <w:bottom w:w="41" w:type="dxa"/>
            <w:right w:w="0" w:type="dxa"/>
          </w:tblCellMar>
        </w:tblPrEx>
        <w:trPr>
          <w:trHeight w:val="1713" w:hRule="atLeast"/>
        </w:trPr>
        <w:tc>
          <w:tcPr>
            <w:tcW w:w="13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left"/>
              <w:rPr>
                <w:rFonts w:ascii="宋体" w:hAnsi="宋体" w:eastAsia="宋体"/>
                <w:sz w:val="18"/>
                <w:szCs w:val="18"/>
              </w:rPr>
            </w:pPr>
            <w:r>
              <w:rPr>
                <w:rFonts w:hint="eastAsia" w:ascii="宋体" w:hAnsi="宋体" w:eastAsia="宋体"/>
                <w:sz w:val="18"/>
                <w:szCs w:val="18"/>
              </w:rPr>
              <w:t>教育</w:t>
            </w:r>
            <w:r>
              <w:rPr>
                <w:rFonts w:ascii="宋体" w:hAnsi="宋体" w:eastAsia="宋体"/>
                <w:sz w:val="18"/>
                <w:szCs w:val="18"/>
              </w:rPr>
              <w:t>类 （</w:t>
            </w:r>
            <w:r>
              <w:rPr>
                <w:rFonts w:hint="eastAsia" w:ascii="宋体" w:hAnsi="宋体" w:eastAsia="宋体"/>
                <w:sz w:val="18"/>
                <w:szCs w:val="18"/>
              </w:rPr>
              <w:t>57</w:t>
            </w:r>
            <w:r>
              <w:rPr>
                <w:rFonts w:ascii="宋体" w:hAnsi="宋体" w:eastAsia="宋体"/>
                <w:sz w:val="18"/>
                <w:szCs w:val="18"/>
              </w:rPr>
              <w:t xml:space="preserve">） </w:t>
            </w:r>
          </w:p>
        </w:tc>
        <w:tc>
          <w:tcPr>
            <w:tcW w:w="12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left"/>
              <w:rPr>
                <w:rFonts w:ascii="宋体" w:hAnsi="宋体" w:eastAsia="宋体"/>
                <w:sz w:val="18"/>
                <w:szCs w:val="18"/>
              </w:rPr>
            </w:pPr>
            <w:r>
              <w:rPr>
                <w:rFonts w:hint="eastAsia" w:ascii="宋体" w:hAnsi="宋体" w:eastAsia="宋体"/>
                <w:sz w:val="18"/>
                <w:szCs w:val="18"/>
              </w:rPr>
              <w:t>教育</w:t>
            </w:r>
            <w:r>
              <w:rPr>
                <w:rFonts w:ascii="宋体" w:hAnsi="宋体" w:eastAsia="宋体"/>
                <w:sz w:val="18"/>
                <w:szCs w:val="18"/>
              </w:rPr>
              <w:t xml:space="preserve">类 </w:t>
            </w:r>
          </w:p>
          <w:p>
            <w:pPr>
              <w:adjustRightInd w:val="0"/>
              <w:snapToGrid w:val="0"/>
              <w:spacing w:line="500" w:lineRule="exact"/>
              <w:jc w:val="left"/>
              <w:rPr>
                <w:rFonts w:ascii="宋体" w:hAnsi="宋体" w:eastAsia="宋体"/>
                <w:sz w:val="18"/>
                <w:szCs w:val="18"/>
              </w:rPr>
            </w:pPr>
            <w:r>
              <w:rPr>
                <w:rFonts w:ascii="宋体" w:hAnsi="宋体" w:eastAsia="宋体"/>
                <w:sz w:val="18"/>
                <w:szCs w:val="18"/>
              </w:rPr>
              <w:t>（</w:t>
            </w:r>
            <w:r>
              <w:rPr>
                <w:rFonts w:hint="eastAsia" w:ascii="宋体" w:hAnsi="宋体" w:eastAsia="宋体"/>
                <w:sz w:val="18"/>
                <w:szCs w:val="18"/>
              </w:rPr>
              <w:t>5701</w:t>
            </w:r>
            <w:r>
              <w:rPr>
                <w:rFonts w:ascii="宋体" w:hAnsi="宋体" w:eastAsia="宋体"/>
                <w:sz w:val="18"/>
                <w:szCs w:val="18"/>
              </w:rPr>
              <w:t xml:space="preserve">） </w:t>
            </w:r>
          </w:p>
        </w:tc>
        <w:tc>
          <w:tcPr>
            <w:tcW w:w="102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left"/>
              <w:rPr>
                <w:rFonts w:ascii="宋体" w:hAnsi="宋体" w:eastAsia="宋体"/>
                <w:sz w:val="18"/>
                <w:szCs w:val="18"/>
              </w:rPr>
            </w:pPr>
            <w:r>
              <w:rPr>
                <w:rFonts w:hint="eastAsia" w:ascii="宋体" w:hAnsi="宋体" w:eastAsia="宋体"/>
                <w:sz w:val="18"/>
                <w:szCs w:val="18"/>
                <w:lang w:val="en-US" w:eastAsia="zh-CN"/>
              </w:rPr>
              <w:t>学前</w:t>
            </w:r>
            <w:r>
              <w:rPr>
                <w:rFonts w:hint="eastAsia" w:ascii="宋体" w:hAnsi="宋体" w:eastAsia="宋体"/>
                <w:sz w:val="18"/>
                <w:szCs w:val="18"/>
              </w:rPr>
              <w:t>教育（</w:t>
            </w:r>
            <w:r>
              <w:rPr>
                <w:rFonts w:hint="eastAsia" w:ascii="宋体" w:hAnsi="宋体" w:eastAsia="宋体"/>
                <w:sz w:val="18"/>
                <w:szCs w:val="18"/>
                <w:lang w:val="en-US" w:eastAsia="zh-CN"/>
              </w:rPr>
              <w:t>8310</w:t>
            </w:r>
            <w:r>
              <w:rPr>
                <w:rFonts w:hint="eastAsia" w:ascii="宋体" w:hAnsi="宋体" w:eastAsia="宋体"/>
                <w:sz w:val="18"/>
                <w:szCs w:val="18"/>
              </w:rPr>
              <w:t>）</w:t>
            </w:r>
          </w:p>
        </w:tc>
        <w:tc>
          <w:tcPr>
            <w:tcW w:w="148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left"/>
              <w:rPr>
                <w:rFonts w:ascii="宋体" w:hAnsi="宋体" w:eastAsia="宋体"/>
                <w:sz w:val="18"/>
                <w:szCs w:val="18"/>
              </w:rPr>
            </w:pPr>
            <w:r>
              <w:rPr>
                <w:rFonts w:hint="eastAsia" w:ascii="宋体" w:hAnsi="宋体" w:eastAsia="宋体"/>
                <w:sz w:val="18"/>
                <w:szCs w:val="18"/>
                <w:lang w:val="en-US" w:eastAsia="zh-CN"/>
              </w:rPr>
              <w:t>幼儿教育教师</w:t>
            </w:r>
            <w:r>
              <w:rPr>
                <w:rFonts w:hint="eastAsia" w:ascii="宋体" w:hAnsi="宋体" w:eastAsia="宋体"/>
                <w:sz w:val="18"/>
                <w:szCs w:val="18"/>
              </w:rPr>
              <w:t>（</w:t>
            </w:r>
            <w:r>
              <w:rPr>
                <w:rFonts w:hint="eastAsia" w:ascii="宋体" w:hAnsi="宋体" w:eastAsia="宋体"/>
                <w:sz w:val="18"/>
                <w:szCs w:val="18"/>
                <w:lang w:val="en-US" w:eastAsia="zh-CN"/>
              </w:rPr>
              <w:t>2-08-04-0</w:t>
            </w:r>
            <w:r>
              <w:rPr>
                <w:rFonts w:hint="eastAsia" w:ascii="宋体" w:hAnsi="宋体" w:eastAsia="宋体"/>
                <w:sz w:val="18"/>
                <w:szCs w:val="18"/>
              </w:rPr>
              <w:t>0</w:t>
            </w:r>
            <w:r>
              <w:rPr>
                <w:rFonts w:ascii="宋体" w:hAnsi="宋体" w:eastAsia="宋体"/>
                <w:sz w:val="18"/>
                <w:szCs w:val="18"/>
              </w:rPr>
              <w:t>）</w:t>
            </w:r>
          </w:p>
        </w:tc>
        <w:tc>
          <w:tcPr>
            <w:tcW w:w="247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jc w:val="left"/>
              <w:rPr>
                <w:rFonts w:hint="eastAsia" w:ascii="宋体" w:hAnsi="宋体" w:eastAsia="宋体"/>
                <w:snapToGrid w:val="0"/>
                <w:spacing w:val="-12"/>
                <w:kern w:val="0"/>
                <w:sz w:val="18"/>
                <w:szCs w:val="18"/>
                <w:lang w:val="en-US" w:eastAsia="zh-CN"/>
              </w:rPr>
            </w:pPr>
            <w:bookmarkStart w:id="13" w:name="_Hlk503723261"/>
            <w:r>
              <w:rPr>
                <w:rFonts w:hint="eastAsia" w:ascii="宋体" w:hAnsi="宋体" w:eastAsia="宋体"/>
                <w:sz w:val="18"/>
                <w:szCs w:val="18"/>
              </w:rPr>
              <w:t>1.幼儿园</w:t>
            </w:r>
            <w:r>
              <w:rPr>
                <w:rFonts w:hint="eastAsia" w:ascii="宋体" w:hAnsi="宋体" w:eastAsia="宋体"/>
                <w:sz w:val="18"/>
                <w:szCs w:val="18"/>
                <w:lang w:val="en-US" w:eastAsia="zh-CN"/>
              </w:rPr>
              <w:t>教师</w:t>
            </w:r>
          </w:p>
          <w:p>
            <w:pPr>
              <w:adjustRightInd w:val="0"/>
              <w:snapToGrid w:val="0"/>
              <w:spacing w:line="500" w:lineRule="exact"/>
              <w:jc w:val="left"/>
              <w:rPr>
                <w:rFonts w:ascii="宋体" w:hAnsi="宋体" w:eastAsia="宋体"/>
                <w:sz w:val="18"/>
                <w:szCs w:val="18"/>
              </w:rPr>
            </w:pPr>
            <w:r>
              <w:rPr>
                <w:rFonts w:hint="eastAsia" w:ascii="宋体" w:hAnsi="宋体" w:eastAsia="宋体"/>
                <w:sz w:val="18"/>
                <w:szCs w:val="18"/>
              </w:rPr>
              <w:t>2.幼儿活动站</w:t>
            </w:r>
          </w:p>
          <w:p>
            <w:pPr>
              <w:adjustRightInd w:val="0"/>
              <w:snapToGrid w:val="0"/>
              <w:spacing w:line="500" w:lineRule="exact"/>
              <w:jc w:val="left"/>
              <w:rPr>
                <w:rFonts w:ascii="宋体" w:hAnsi="宋体" w:eastAsia="宋体"/>
                <w:sz w:val="18"/>
                <w:szCs w:val="18"/>
              </w:rPr>
            </w:pPr>
            <w:r>
              <w:rPr>
                <w:rFonts w:hint="eastAsia" w:ascii="宋体" w:hAnsi="宋体" w:eastAsia="宋体"/>
                <w:sz w:val="18"/>
                <w:szCs w:val="18"/>
              </w:rPr>
              <w:t>3.早教机构</w:t>
            </w:r>
            <w:bookmarkEnd w:id="13"/>
          </w:p>
        </w:tc>
        <w:tc>
          <w:tcPr>
            <w:tcW w:w="161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500" w:lineRule="exact"/>
              <w:ind w:right="-11"/>
              <w:jc w:val="left"/>
              <w:rPr>
                <w:rFonts w:ascii="宋体" w:hAnsi="宋体" w:eastAsia="宋体"/>
                <w:sz w:val="18"/>
                <w:szCs w:val="18"/>
              </w:rPr>
            </w:pPr>
            <w:r>
              <w:rPr>
                <w:rFonts w:hint="eastAsia" w:ascii="宋体" w:hAnsi="宋体" w:eastAsia="宋体"/>
                <w:sz w:val="18"/>
                <w:szCs w:val="18"/>
              </w:rPr>
              <w:t>1.幼儿教师</w:t>
            </w:r>
            <w:r>
              <w:rPr>
                <w:rFonts w:ascii="宋体" w:hAnsi="宋体" w:eastAsia="宋体"/>
                <w:sz w:val="18"/>
                <w:szCs w:val="18"/>
              </w:rPr>
              <w:t>资格</w:t>
            </w:r>
            <w:r>
              <w:rPr>
                <w:rFonts w:hint="eastAsia" w:ascii="宋体" w:hAnsi="宋体" w:eastAsia="宋体"/>
                <w:sz w:val="18"/>
                <w:szCs w:val="18"/>
              </w:rPr>
              <w:t>证</w:t>
            </w:r>
          </w:p>
          <w:p>
            <w:pPr>
              <w:adjustRightInd w:val="0"/>
              <w:snapToGrid w:val="0"/>
              <w:spacing w:line="500" w:lineRule="exact"/>
              <w:ind w:right="-11"/>
              <w:jc w:val="left"/>
              <w:rPr>
                <w:rFonts w:ascii="宋体" w:hAnsi="宋体" w:eastAsia="宋体"/>
                <w:sz w:val="18"/>
                <w:szCs w:val="18"/>
              </w:rPr>
            </w:pPr>
            <w:r>
              <w:rPr>
                <w:rFonts w:hint="eastAsia" w:ascii="宋体" w:hAnsi="宋体" w:eastAsia="宋体"/>
                <w:sz w:val="18"/>
                <w:szCs w:val="18"/>
              </w:rPr>
              <w:t>2.保育</w:t>
            </w:r>
            <w:r>
              <w:rPr>
                <w:rFonts w:hint="eastAsia" w:ascii="宋体" w:hAnsi="宋体" w:eastAsia="宋体"/>
                <w:sz w:val="18"/>
                <w:szCs w:val="18"/>
                <w:lang w:val="en-US" w:eastAsia="zh-CN"/>
              </w:rPr>
              <w:t>师</w:t>
            </w:r>
            <w:r>
              <w:rPr>
                <w:rFonts w:ascii="宋体" w:hAnsi="宋体" w:eastAsia="宋体"/>
                <w:sz w:val="18"/>
                <w:szCs w:val="18"/>
              </w:rPr>
              <w:t>证</w:t>
            </w:r>
          </w:p>
        </w:tc>
      </w:tr>
    </w:tbl>
    <w:p>
      <w:pPr>
        <w:numPr>
          <w:ilvl w:val="0"/>
          <w:numId w:val="1"/>
        </w:numPr>
        <w:adjustRightInd w:val="0"/>
        <w:snapToGrid w:val="0"/>
        <w:spacing w:line="360" w:lineRule="auto"/>
        <w:ind w:firstLine="566" w:firstLineChars="200"/>
        <w:outlineLvl w:val="1"/>
        <w:rPr>
          <w:rFonts w:hint="eastAsia" w:ascii="宋体" w:hAnsi="宋体" w:eastAsia="宋体" w:cs="宋体"/>
          <w:b/>
          <w:bCs/>
          <w:sz w:val="28"/>
          <w:szCs w:val="28"/>
        </w:rPr>
      </w:pPr>
      <w:bookmarkStart w:id="14" w:name="_Toc87642127"/>
      <w:r>
        <w:rPr>
          <w:rFonts w:hint="eastAsia" w:ascii="宋体" w:hAnsi="宋体" w:eastAsia="宋体" w:cs="宋体"/>
          <w:b/>
          <w:bCs/>
          <w:sz w:val="28"/>
          <w:szCs w:val="28"/>
        </w:rPr>
        <w:t>职业面向</w:t>
      </w:r>
      <w:bookmarkEnd w:id="14"/>
    </w:p>
    <w:p>
      <w:pPr>
        <w:numPr>
          <w:ilvl w:val="0"/>
          <w:numId w:val="0"/>
        </w:numPr>
        <w:adjustRightInd w:val="0"/>
        <w:snapToGrid w:val="0"/>
        <w:spacing w:line="360" w:lineRule="auto"/>
        <w:outlineLvl w:val="1"/>
        <w:rPr>
          <w:rFonts w:hint="eastAsia" w:ascii="宋体" w:hAnsi="宋体" w:eastAsia="宋体" w:cs="宋体"/>
          <w:b/>
          <w:bCs/>
          <w:sz w:val="28"/>
          <w:szCs w:val="28"/>
        </w:rPr>
      </w:pPr>
    </w:p>
    <w:p>
      <w:pPr>
        <w:spacing w:before="218" w:line="225" w:lineRule="auto"/>
        <w:ind w:left="18" w:right="46" w:firstLine="409"/>
        <w:rPr>
          <w:rFonts w:hint="eastAsia" w:ascii="宋体" w:hAnsi="宋体" w:eastAsia="宋体" w:cs="宋体"/>
          <w:sz w:val="28"/>
          <w:szCs w:val="28"/>
        </w:rPr>
      </w:pPr>
      <w:r>
        <w:rPr>
          <w:rFonts w:hint="eastAsia" w:ascii="宋体" w:hAnsi="宋体" w:eastAsia="宋体" w:cs="宋体"/>
          <w:sz w:val="28"/>
          <w:szCs w:val="28"/>
        </w:rPr>
        <w:t>本专业培养以服务内蒙古各市县的学前教育机构人才需求为主，辐射周边部分省市的托幼机构人才需求，德智体美劳全面发展，掌握扎实的科学文化基础和思想政治理论、幼儿 发展、幼儿保育和教育等知识，具备良好的人文素养、科学素养和创新意识，具备较强的保教能力及课程设计与实施、班级建设与管理、数字化教育技术应用、终身学习等能 力，具有教育情怀和信息素养，能能够从事学前教育工作的高素质幼儿园教师。</w:t>
      </w:r>
    </w:p>
    <w:p>
      <w:pPr>
        <w:adjustRightInd w:val="0"/>
        <w:snapToGrid w:val="0"/>
        <w:spacing w:line="360" w:lineRule="auto"/>
        <w:ind w:firstLine="566" w:firstLineChars="200"/>
        <w:outlineLvl w:val="1"/>
        <w:rPr>
          <w:rFonts w:ascii="宋体" w:hAnsi="宋体" w:eastAsia="宋体" w:cs="宋体"/>
          <w:b/>
          <w:kern w:val="44"/>
          <w:sz w:val="28"/>
          <w:szCs w:val="28"/>
        </w:rPr>
      </w:pPr>
      <w:bookmarkStart w:id="15" w:name="_Toc87642128"/>
      <w:r>
        <w:rPr>
          <w:rFonts w:hint="eastAsia" w:ascii="宋体" w:hAnsi="宋体" w:eastAsia="宋体" w:cs="宋体"/>
          <w:b/>
          <w:kern w:val="44"/>
          <w:sz w:val="28"/>
          <w:szCs w:val="28"/>
        </w:rPr>
        <w:t>（二）职业岗位（群）与能力分析</w:t>
      </w:r>
      <w:bookmarkEnd w:id="15"/>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本专业毕业生可能获得的初始就业岗位有：学前教育机构普通教师或保育员，包括幼儿园教师或保育员；幼儿培训中心教师或保育员。当获得一定的工作经验并经过一定的继续教育后，本专业毕业生可能获得的发展性就业岗位有：学前教育机构管理及科研人员，包括幼儿园园长、教学副园长、后勤副园长、幼儿园班主任；早教中心、亲子园园长及其他管理人员；幼儿培训中心管理人员等。</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通过到幼儿园进行调研，了解不同体制背景（国有、民办等）下幼儿园对本专业人才需求状况、职业发展趋势、岗位能力要求和相应职业资格要求；明确人才培养的主要规格和毕业生就业的基本情况。</w:t>
      </w:r>
    </w:p>
    <w:p>
      <w:pPr>
        <w:adjustRightInd w:val="0"/>
        <w:snapToGrid w:val="0"/>
        <w:spacing w:line="360" w:lineRule="auto"/>
        <w:outlineLvl w:val="0"/>
        <w:rPr>
          <w:rFonts w:ascii="黑体" w:hAnsi="黑体" w:eastAsia="黑体" w:cs="黑体"/>
          <w:b/>
          <w:kern w:val="44"/>
          <w:sz w:val="28"/>
          <w:szCs w:val="28"/>
        </w:rPr>
      </w:pPr>
      <w:bookmarkStart w:id="16" w:name="_Toc87642129"/>
      <w:r>
        <w:rPr>
          <w:rFonts w:hint="eastAsia" w:ascii="黑体" w:hAnsi="黑体" w:eastAsia="黑体" w:cs="黑体"/>
          <w:b/>
          <w:kern w:val="44"/>
          <w:sz w:val="28"/>
          <w:szCs w:val="28"/>
        </w:rPr>
        <w:t>五、人才培养目标与培养规格</w:t>
      </w:r>
      <w:bookmarkEnd w:id="16"/>
    </w:p>
    <w:p>
      <w:pPr>
        <w:adjustRightInd w:val="0"/>
        <w:snapToGrid w:val="0"/>
        <w:spacing w:line="360" w:lineRule="auto"/>
        <w:ind w:firstLine="566" w:firstLineChars="200"/>
        <w:outlineLvl w:val="1"/>
        <w:rPr>
          <w:rFonts w:ascii="宋体" w:hAnsi="宋体" w:eastAsia="宋体" w:cs="宋体"/>
          <w:b/>
          <w:sz w:val="28"/>
          <w:szCs w:val="28"/>
        </w:rPr>
      </w:pPr>
      <w:bookmarkStart w:id="17" w:name="_Toc87642130"/>
      <w:r>
        <w:rPr>
          <w:rFonts w:hint="eastAsia" w:ascii="宋体" w:hAnsi="宋体" w:eastAsia="宋体" w:cs="宋体"/>
          <w:b/>
          <w:sz w:val="28"/>
          <w:szCs w:val="28"/>
        </w:rPr>
        <w:t>（一）人才培养目标</w:t>
      </w:r>
      <w:bookmarkEnd w:id="17"/>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本专业培养能够践行社会主义核心价值观，德智体美劳全面发展，具有良好的人文和科学素 养，具备正确的教育理念、良好的教师职业道德，掌握幼儿发展、幼儿保育和教育知识，具备较强的保教能力、创新意识和可持续发展能力，能够从事学前教育工作的高素质幼儿园教师。</w:t>
      </w:r>
    </w:p>
    <w:p>
      <w:pPr>
        <w:spacing w:line="360" w:lineRule="auto"/>
        <w:ind w:firstLine="566" w:firstLineChars="200"/>
        <w:rPr>
          <w:rFonts w:ascii="宋体" w:hAnsi="宋体" w:eastAsia="宋体" w:cs="宋体"/>
          <w:b/>
          <w:sz w:val="28"/>
          <w:szCs w:val="28"/>
        </w:rPr>
      </w:pPr>
      <w:r>
        <w:rPr>
          <w:rFonts w:hint="eastAsia" w:ascii="宋体" w:hAnsi="宋体" w:eastAsia="宋体" w:cs="宋体"/>
          <w:b/>
          <w:sz w:val="28"/>
          <w:szCs w:val="28"/>
        </w:rPr>
        <w:t>（二）人才培养规格</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本专业学生应在系统学习本专业知识并完成有关实习实训的基础上，全面提升素质、知识、能力，掌握并实际运用幼儿园教师岗位所需要的专业核心技能，  总体上须达到以下要求：</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贯彻党的教育方针，以立德树人为己任；具有依法执教意识，能够遵守与教育活动相关的法律法规及政策，遵守中小学教师职业道德规范和新时代幼儿园教师职业行为十项准则</w:t>
      </w:r>
      <w:r>
        <w:rPr>
          <w:rFonts w:hint="eastAsia" w:ascii="宋体" w:hAnsi="宋体" w:eastAsia="宋体" w:cs="宋体"/>
          <w:sz w:val="28"/>
          <w:szCs w:val="28"/>
          <w:lang w:eastAsia="zh-CN"/>
        </w:rPr>
        <w:t>，</w:t>
      </w:r>
      <w:r>
        <w:rPr>
          <w:rFonts w:hint="eastAsia" w:ascii="宋体" w:hAnsi="宋体" w:eastAsia="宋体" w:cs="宋体"/>
          <w:sz w:val="28"/>
          <w:szCs w:val="28"/>
        </w:rPr>
        <w:t>具备社会责任感和担当精神；</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 掌握幼儿身心发展特点及规律，掌握幼儿保育和教育的知识，具有幼儿一日生 活组织与保育的能力；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3</w:t>
      </w:r>
      <w:r>
        <w:rPr>
          <w:rFonts w:hint="eastAsia" w:ascii="宋体" w:hAnsi="宋体" w:eastAsia="宋体" w:cs="宋体"/>
          <w:sz w:val="28"/>
          <w:szCs w:val="28"/>
        </w:rPr>
        <w:t>. 掌握幼儿游戏活动组织与实施的知识与方法，具有支持与引导幼儿游戏活动的能力；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 掌握幼儿园健康、语言、社会、科学和艺术领域教育的学科特点与知识，具备 各领域教育活动的计划、实施与评价能力；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 xml:space="preserve">. 掌握幼儿园环境创设的知识与方法，具备幼儿园环境创设与利用的能力； </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 xml:space="preserve">. 掌握观察、谈话和记录等了解幼儿的方法，具备与幼儿、家长有效沟通，正确激励与评价幼儿的能力，具备班级管理和家园共育等综合育人能力及融合教育能力； </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 具有反思和改进保教工作的能力；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 具有良好的语言表达能力、沟通与合作能力；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 具有良好的数字技能和适应教育智能化发展需求的现代教育技术应用能力；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 具有探究学习、终身学习和可持续发展的能力</w:t>
      </w:r>
    </w:p>
    <w:bookmarkEnd w:id="9"/>
    <w:p>
      <w:pPr>
        <w:adjustRightInd w:val="0"/>
        <w:snapToGrid w:val="0"/>
        <w:spacing w:line="360" w:lineRule="auto"/>
        <w:outlineLvl w:val="0"/>
        <w:rPr>
          <w:rFonts w:ascii="黑体" w:hAnsi="黑体" w:eastAsia="黑体" w:cs="黑体"/>
          <w:b/>
          <w:kern w:val="44"/>
          <w:sz w:val="28"/>
          <w:szCs w:val="28"/>
        </w:rPr>
      </w:pPr>
      <w:bookmarkStart w:id="18" w:name="_Toc87642131"/>
      <w:bookmarkStart w:id="19" w:name="_Toc15587"/>
      <w:r>
        <w:rPr>
          <w:rFonts w:hint="eastAsia" w:ascii="黑体" w:hAnsi="黑体" w:eastAsia="黑体" w:cs="黑体"/>
          <w:b/>
          <w:kern w:val="44"/>
          <w:sz w:val="28"/>
          <w:szCs w:val="28"/>
        </w:rPr>
        <w:t>六、课程设置及要求</w:t>
      </w:r>
      <w:bookmarkEnd w:id="18"/>
    </w:p>
    <w:p>
      <w:pPr>
        <w:adjustRightInd w:val="0"/>
        <w:snapToGrid w:val="0"/>
        <w:spacing w:line="360" w:lineRule="auto"/>
        <w:ind w:firstLine="566" w:firstLineChars="200"/>
        <w:outlineLvl w:val="1"/>
        <w:rPr>
          <w:rFonts w:ascii="宋体" w:hAnsi="宋体" w:eastAsia="宋体" w:cs="宋体"/>
          <w:b/>
          <w:sz w:val="28"/>
          <w:szCs w:val="28"/>
        </w:rPr>
      </w:pPr>
      <w:bookmarkStart w:id="20" w:name="_Toc87642132"/>
      <w:r>
        <w:rPr>
          <w:rFonts w:hint="eastAsia" w:ascii="宋体" w:hAnsi="宋体" w:eastAsia="宋体" w:cs="宋体"/>
          <w:b/>
          <w:sz w:val="28"/>
          <w:szCs w:val="28"/>
        </w:rPr>
        <w:t>（一）公共基础课程</w:t>
      </w:r>
      <w:bookmarkEnd w:id="20"/>
    </w:p>
    <w:p>
      <w:pPr>
        <w:spacing w:line="360" w:lineRule="auto"/>
        <w:ind w:right="14" w:firstLine="560"/>
        <w:rPr>
          <w:rFonts w:ascii="宋体" w:hAnsi="宋体" w:cs="宋体"/>
          <w:bCs/>
          <w:sz w:val="28"/>
          <w:szCs w:val="28"/>
        </w:rPr>
      </w:pPr>
      <w:r>
        <w:rPr>
          <w:rFonts w:ascii="宋体" w:hAnsi="宋体" w:eastAsia="宋体"/>
          <w:sz w:val="28"/>
          <w:szCs w:val="28"/>
        </w:rPr>
        <w:t>1.</w:t>
      </w:r>
      <w:r>
        <w:rPr>
          <w:rFonts w:hint="eastAsia" w:ascii="仿宋" w:hAnsi="仿宋" w:eastAsia="仿宋" w:cs="仿宋"/>
          <w:kern w:val="0"/>
          <w:sz w:val="32"/>
          <w:szCs w:val="32"/>
          <w:lang w:bidi="ar"/>
        </w:rPr>
        <w:t>《健康教育》</w:t>
      </w:r>
    </w:p>
    <w:p>
      <w:pPr>
        <w:spacing w:line="360" w:lineRule="auto"/>
        <w:ind w:right="14" w:firstLine="560"/>
        <w:rPr>
          <w:rFonts w:ascii="宋体" w:hAnsi="宋体" w:eastAsia="宋体"/>
          <w:sz w:val="28"/>
          <w:szCs w:val="28"/>
        </w:rPr>
      </w:pPr>
      <w:r>
        <w:rPr>
          <w:rFonts w:hint="eastAsia" w:ascii="宋体" w:hAnsi="宋体" w:eastAsia="宋体"/>
          <w:sz w:val="28"/>
          <w:szCs w:val="28"/>
        </w:rPr>
        <w:t>本课程主要结合三高职年制学生的知识结构特点及身心发展规律特点，三年制高职学生身心发展较为成熟，心理状态相对稳定，结合以上特点向介绍大学生常见的疾病及心理健康等问题的临床表现和病因，普及卫生常识，使他们掌握一定的健康知识，强化同学们的健康意识，提高大学生自我保健意识和防病能力，帮助同学们养成良好的生活习惯、选择健康的行为和生活方式、消除和减少危险因素、改善生活质量，从而达到促进大学生建立新的健康概念，提高心理素质，增强疾病的自我监测，自我防护的教育活动和教学课程。</w:t>
      </w:r>
    </w:p>
    <w:p>
      <w:pPr>
        <w:spacing w:line="360" w:lineRule="auto"/>
        <w:ind w:right="14" w:firstLine="560"/>
        <w:rPr>
          <w:rFonts w:ascii="宋体" w:hAnsi="宋体" w:eastAsia="宋体"/>
          <w:sz w:val="28"/>
          <w:szCs w:val="28"/>
        </w:rPr>
      </w:pPr>
      <w:r>
        <w:rPr>
          <w:rFonts w:hint="eastAsia" w:ascii="宋体" w:hAnsi="宋体" w:eastAsia="宋体"/>
          <w:sz w:val="28"/>
          <w:szCs w:val="28"/>
        </w:rPr>
        <w:t>2.《大学生心理健康》</w:t>
      </w:r>
    </w:p>
    <w:p>
      <w:pPr>
        <w:spacing w:line="360" w:lineRule="auto"/>
        <w:ind w:right="14" w:firstLine="560"/>
        <w:rPr>
          <w:rFonts w:ascii="宋体" w:hAnsi="宋体" w:eastAsia="宋体"/>
          <w:sz w:val="28"/>
          <w:szCs w:val="28"/>
        </w:rPr>
      </w:pPr>
      <w:r>
        <w:rPr>
          <w:rFonts w:hint="eastAsia" w:ascii="宋体" w:hAnsi="宋体" w:eastAsia="宋体"/>
          <w:sz w:val="28"/>
          <w:szCs w:val="28"/>
        </w:rPr>
        <w:t>《大学生心理健康》课程是集知识传授、心理体验与行为训练为一体的公共必修课程，通过教学帮助一年级新生尽快适应大学生活，明确心理健康的标准及意义，增强自我心理保健意识和心理危机预防意识，掌握并应用心理健康知识，培养自我认知能力、人际沟通能力、自我调节能力，切实提高心理素质，促进学生全面发展。</w:t>
      </w:r>
    </w:p>
    <w:p>
      <w:pPr>
        <w:spacing w:line="360" w:lineRule="auto"/>
        <w:rPr>
          <w:rFonts w:ascii="宋体" w:hAnsi="宋体" w:eastAsia="宋体"/>
          <w:sz w:val="28"/>
          <w:szCs w:val="28"/>
        </w:rPr>
      </w:pPr>
      <w:r>
        <w:rPr>
          <w:rFonts w:ascii="宋体" w:hAnsi="宋体" w:eastAsia="宋体"/>
          <w:sz w:val="28"/>
          <w:szCs w:val="28"/>
        </w:rPr>
        <w:t xml:space="preserve">     3.</w:t>
      </w:r>
      <w:r>
        <w:rPr>
          <w:rFonts w:hint="eastAsia" w:ascii="宋体" w:hAnsi="宋体" w:eastAsia="宋体"/>
          <w:sz w:val="28"/>
          <w:szCs w:val="28"/>
        </w:rPr>
        <w:t>《形势与政策》</w:t>
      </w:r>
    </w:p>
    <w:p>
      <w:pPr>
        <w:spacing w:line="360" w:lineRule="auto"/>
        <w:ind w:right="14" w:firstLine="560"/>
        <w:rPr>
          <w:rFonts w:ascii="宋体" w:hAnsi="宋体" w:eastAsia="宋体"/>
          <w:sz w:val="28"/>
          <w:szCs w:val="28"/>
        </w:rPr>
      </w:pPr>
      <w:r>
        <w:rPr>
          <w:rFonts w:hint="eastAsia" w:ascii="宋体" w:hAnsi="宋体" w:eastAsia="宋体"/>
          <w:sz w:val="28"/>
          <w:szCs w:val="28"/>
        </w:rPr>
        <w:t>《形势与政策》课是理论武装时效性、释疑解惑针对性、教育引导综合性都很强的一门高校思想政治理论课，是帮助大学生正确认识新时代国内外形势，深刻领会党的十八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是深入学习贯彻党的十九大精神，及时、准确、深入地推动习近平新时代中国特色社会主义思想进教材进课堂进学生头脑，宣传党中央大政方针，牢固树立“四个意识”，坚定“四个自信”，培养担当民族复兴大任的时代新人的一门重要课程。</w:t>
      </w:r>
    </w:p>
    <w:p>
      <w:pPr>
        <w:spacing w:line="360" w:lineRule="auto"/>
        <w:ind w:firstLine="566" w:firstLineChars="200"/>
        <w:rPr>
          <w:rFonts w:ascii="宋体" w:hAnsi="宋体" w:eastAsia="宋体"/>
          <w:sz w:val="28"/>
          <w:szCs w:val="28"/>
        </w:rPr>
      </w:pPr>
      <w:r>
        <w:rPr>
          <w:rFonts w:hint="eastAsia" w:ascii="宋体" w:hAnsi="宋体" w:eastAsia="宋体"/>
          <w:sz w:val="28"/>
          <w:szCs w:val="28"/>
        </w:rPr>
        <w:t>4.《大学英语》</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本课程掌握必要的英语语音、词汇、语法、语篇和语用知识，具备必要的英语听、说、读、看、写、译技能。通过本课程学习，学生能够达到职场涉外沟通、多元文化交流、语言思维提升、自主学习完善的四项学科核心素养的发展目标。促进学生英语学科核心素养的发展，培养具有中国情怀、国际视野，能够在日常生活和职场中用英语进行有效沟通的高素质技术技能型人才。</w:t>
      </w:r>
    </w:p>
    <w:p>
      <w:pPr>
        <w:spacing w:line="360" w:lineRule="auto"/>
        <w:ind w:firstLine="566" w:firstLineChars="200"/>
        <w:rPr>
          <w:rFonts w:ascii="宋体" w:hAnsi="宋体" w:eastAsia="宋体"/>
          <w:sz w:val="28"/>
          <w:szCs w:val="28"/>
        </w:rPr>
      </w:pPr>
      <w:r>
        <w:rPr>
          <w:rFonts w:hint="eastAsia" w:ascii="宋体" w:hAnsi="宋体" w:eastAsia="宋体"/>
          <w:sz w:val="28"/>
          <w:szCs w:val="28"/>
        </w:rPr>
        <w:t>5.《大学体育》</w:t>
      </w:r>
    </w:p>
    <w:p>
      <w:pPr>
        <w:spacing w:line="360" w:lineRule="auto"/>
        <w:ind w:right="14" w:firstLine="560"/>
        <w:rPr>
          <w:rFonts w:ascii="宋体" w:hAnsi="宋体" w:eastAsia="宋体"/>
          <w:sz w:val="28"/>
          <w:szCs w:val="28"/>
        </w:rPr>
      </w:pPr>
      <w:r>
        <w:rPr>
          <w:rFonts w:hint="eastAsia" w:ascii="宋体" w:hAnsi="宋体" w:eastAsia="宋体"/>
          <w:sz w:val="28"/>
          <w:szCs w:val="28"/>
        </w:rPr>
        <w:t>本课程第一学期开设大专必修体育课,第二、三学期开设一年的选项课,项目有篮球、排球、足球、羽毛球、乒乓球、健美操、太极拳、保健按摩、女子防身术等选项课。通过本课程的学习使学生掌握一定的体育基本知识、技术、技能以及科学锻炼身体的理论和方法，培养学生合作精神、锻炼学生的意志品质。</w:t>
      </w:r>
    </w:p>
    <w:p>
      <w:pPr>
        <w:spacing w:line="360" w:lineRule="auto"/>
        <w:ind w:firstLine="566" w:firstLineChars="200"/>
        <w:rPr>
          <w:rFonts w:ascii="宋体" w:hAnsi="宋体" w:eastAsia="宋体"/>
          <w:sz w:val="28"/>
          <w:szCs w:val="28"/>
        </w:rPr>
      </w:pPr>
      <w:r>
        <w:rPr>
          <w:rFonts w:hint="eastAsia" w:ascii="宋体" w:hAnsi="宋体" w:eastAsia="宋体"/>
          <w:sz w:val="28"/>
          <w:szCs w:val="28"/>
        </w:rPr>
        <w:t>6.《大学语文》</w:t>
      </w:r>
    </w:p>
    <w:p>
      <w:pPr>
        <w:spacing w:line="360" w:lineRule="auto"/>
        <w:ind w:right="14" w:firstLine="566" w:firstLineChars="200"/>
        <w:rPr>
          <w:rFonts w:ascii="宋体" w:hAnsi="宋体" w:eastAsia="宋体"/>
          <w:sz w:val="28"/>
          <w:szCs w:val="28"/>
        </w:rPr>
      </w:pPr>
      <w:r>
        <w:rPr>
          <w:rFonts w:hint="eastAsia" w:ascii="宋体" w:hAnsi="宋体" w:eastAsia="宋体"/>
          <w:sz w:val="28"/>
          <w:szCs w:val="28"/>
        </w:rPr>
        <w:t>《大学语文》以听、说、读、写为基本载体，融思想性、知识性、审美性、人文性和趣味性于一体，不仅能够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p>
      <w:pPr>
        <w:spacing w:line="360" w:lineRule="auto"/>
        <w:ind w:right="14" w:firstLine="560"/>
        <w:rPr>
          <w:rFonts w:ascii="宋体" w:hAnsi="宋体" w:eastAsia="宋体"/>
          <w:sz w:val="28"/>
          <w:szCs w:val="28"/>
        </w:rPr>
      </w:pPr>
      <w:r>
        <w:rPr>
          <w:rFonts w:hint="eastAsia" w:ascii="宋体" w:hAnsi="宋体" w:eastAsia="宋体"/>
          <w:sz w:val="28"/>
          <w:szCs w:val="28"/>
        </w:rPr>
        <w:t>通过本课程学习，帮助学生习得知识、提升能力、陶冶性情、启蒙心智、塑造人格，引导学生在丰富情感世界和精神生活的同时，提高思想修养和审美情趣，养成良好的个性，形成健全的人格，为学好其他专业课程和未来的职业生涯奠定坚实的基础。</w:t>
      </w:r>
    </w:p>
    <w:p>
      <w:pPr>
        <w:spacing w:line="360" w:lineRule="auto"/>
        <w:ind w:firstLine="566" w:firstLineChars="200"/>
        <w:rPr>
          <w:rFonts w:ascii="宋体" w:hAnsi="宋体" w:eastAsia="宋体"/>
          <w:sz w:val="28"/>
          <w:szCs w:val="28"/>
        </w:rPr>
      </w:pPr>
      <w:r>
        <w:rPr>
          <w:rFonts w:hint="eastAsia" w:ascii="宋体" w:hAnsi="宋体" w:eastAsia="宋体"/>
          <w:sz w:val="28"/>
          <w:szCs w:val="28"/>
        </w:rPr>
        <w:t>7. 《军事训练和入学教育》</w:t>
      </w:r>
    </w:p>
    <w:p>
      <w:pPr>
        <w:spacing w:line="360" w:lineRule="auto"/>
        <w:ind w:firstLine="566" w:firstLineChars="200"/>
        <w:rPr>
          <w:rFonts w:ascii="宋体" w:hAnsi="宋体" w:eastAsia="宋体"/>
          <w:sz w:val="28"/>
          <w:szCs w:val="28"/>
        </w:rPr>
      </w:pPr>
      <w:r>
        <w:rPr>
          <w:rFonts w:hint="eastAsia" w:ascii="宋体" w:hAnsi="宋体" w:eastAsia="宋体"/>
          <w:sz w:val="28"/>
          <w:szCs w:val="28"/>
        </w:rPr>
        <w:t>通过本课程的学习，使学生掌握一些基本军事技能，增强国防观念和国防安全意识，强化爱国主义精神，树立自觉履行国防义务的观念，加强集体主义观念，强化学生的组织纪律性，培养艰苦奋斗的作风，并帮助新生理解高等职业教育的目标，明确专业发展方向，迅速转变角色，尽快适应新的学习和生活，了解学校的各类规章制度以及与学生有关的各类机构设置，督促学生遵守校纪校规，养成良好的学习、生活习惯；帮助新生端正专业思想，明确学生的责任和义务，逐步确立奋斗目标。</w:t>
      </w:r>
    </w:p>
    <w:p>
      <w:pPr>
        <w:spacing w:line="360" w:lineRule="auto"/>
        <w:ind w:firstLine="566" w:firstLineChars="200"/>
        <w:rPr>
          <w:rFonts w:ascii="宋体" w:hAnsi="宋体" w:eastAsia="宋体"/>
          <w:sz w:val="28"/>
          <w:szCs w:val="28"/>
        </w:rPr>
      </w:pPr>
      <w:r>
        <w:rPr>
          <w:rFonts w:hint="eastAsia" w:ascii="宋体" w:hAnsi="宋体" w:eastAsia="宋体"/>
          <w:sz w:val="28"/>
          <w:szCs w:val="28"/>
        </w:rPr>
        <w:t>8. 《职业发展与就业指导》</w:t>
      </w:r>
    </w:p>
    <w:p>
      <w:pPr>
        <w:spacing w:line="360" w:lineRule="auto"/>
        <w:ind w:firstLine="566" w:firstLineChars="200"/>
        <w:rPr>
          <w:rFonts w:ascii="宋体" w:hAnsi="宋体" w:eastAsia="宋体"/>
          <w:sz w:val="28"/>
          <w:szCs w:val="28"/>
        </w:rPr>
      </w:pPr>
      <w:r>
        <w:rPr>
          <w:rFonts w:hint="eastAsia" w:ascii="宋体" w:hAnsi="宋体" w:eastAsia="宋体"/>
          <w:sz w:val="28"/>
          <w:szCs w:val="28"/>
        </w:rPr>
        <w:t>《职业发展与就业指导》课程是一门重要必修公共基础课，它指导学生定位职业发展方向，拟定自己的职业发展愿望计划；指导学生从事与自己职业发展方向相关的工作实践；指导学生获得就业信息,树立正确的就业观；指导学生掌握求职择业的知识、方法、技巧；指导学生逐步树立良好的职业习惯，以帮助学生提升就业与职业发展能力，练就优秀职业人思维，形成正确的就业观和职业发展观。</w:t>
      </w:r>
    </w:p>
    <w:p>
      <w:pPr>
        <w:spacing w:line="360" w:lineRule="auto"/>
        <w:ind w:firstLine="566" w:firstLineChars="200"/>
        <w:rPr>
          <w:rFonts w:ascii="宋体" w:hAnsi="宋体" w:eastAsia="宋体"/>
          <w:sz w:val="28"/>
          <w:szCs w:val="28"/>
        </w:rPr>
      </w:pPr>
      <w:r>
        <w:rPr>
          <w:rFonts w:hint="eastAsia" w:ascii="宋体" w:hAnsi="宋体" w:eastAsia="宋体"/>
          <w:sz w:val="28"/>
          <w:szCs w:val="28"/>
        </w:rPr>
        <w:t>9.</w:t>
      </w:r>
      <w:bookmarkStart w:id="21" w:name="_Hlk91667722"/>
      <w:r>
        <w:rPr>
          <w:rFonts w:hint="eastAsia" w:ascii="宋体" w:hAnsi="宋体" w:eastAsia="宋体"/>
          <w:sz w:val="28"/>
          <w:szCs w:val="28"/>
        </w:rPr>
        <w:t xml:space="preserve"> 《国家安全教育（含禁毒教育）》</w:t>
      </w:r>
    </w:p>
    <w:bookmarkEnd w:id="21"/>
    <w:p>
      <w:pPr>
        <w:spacing w:line="360" w:lineRule="auto"/>
        <w:ind w:firstLine="566" w:firstLineChars="200"/>
        <w:rPr>
          <w:rFonts w:ascii="宋体" w:hAnsi="宋体" w:eastAsia="宋体"/>
          <w:sz w:val="28"/>
          <w:szCs w:val="28"/>
        </w:rPr>
      </w:pPr>
      <w:r>
        <w:rPr>
          <w:rFonts w:hint="eastAsia" w:ascii="宋体" w:hAnsi="宋体" w:eastAsia="宋体"/>
          <w:sz w:val="28"/>
          <w:szCs w:val="28"/>
        </w:rPr>
        <w:t>本课程主要内容包括生活中的安全知识、心理和生理健康与安全、公共安全知识、实验实训与择业安全知识、职业卫生基础知识和职业安全基础知识。本课程重点围绕理解中华民族命运与国家关系，践行总体国家安全观。学生系统掌握总体国家安全观的内涵和精神实质，理解中国特色国家安全体系，树立国家安全底线思维，将国家安全意识转化为自觉行动，强化责任担当。</w:t>
      </w:r>
    </w:p>
    <w:p>
      <w:pPr>
        <w:spacing w:line="360" w:lineRule="auto"/>
        <w:ind w:firstLine="566" w:firstLineChars="200"/>
        <w:rPr>
          <w:rFonts w:ascii="宋体" w:hAnsi="宋体" w:eastAsia="宋体"/>
          <w:sz w:val="28"/>
          <w:szCs w:val="28"/>
          <w:lang w:val="zh-CN"/>
        </w:rPr>
      </w:pPr>
      <w:r>
        <w:rPr>
          <w:rFonts w:hint="eastAsia" w:ascii="宋体" w:hAnsi="宋体" w:eastAsia="宋体"/>
          <w:sz w:val="28"/>
          <w:szCs w:val="28"/>
        </w:rPr>
        <w:t>10.</w:t>
      </w:r>
      <w:r>
        <w:rPr>
          <w:rFonts w:hint="eastAsia" w:ascii="宋体" w:hAnsi="宋体" w:eastAsia="宋体"/>
          <w:sz w:val="28"/>
          <w:szCs w:val="28"/>
          <w:lang w:val="zh-CN"/>
        </w:rPr>
        <w:t xml:space="preserve"> </w:t>
      </w:r>
      <w:r>
        <w:rPr>
          <w:rFonts w:hint="eastAsia" w:ascii="宋体" w:hAnsi="宋体" w:eastAsia="宋体"/>
          <w:sz w:val="28"/>
          <w:szCs w:val="28"/>
        </w:rPr>
        <w:t>《</w:t>
      </w:r>
      <w:r>
        <w:rPr>
          <w:rFonts w:hint="eastAsia" w:ascii="宋体" w:hAnsi="宋体" w:eastAsia="宋体"/>
          <w:sz w:val="28"/>
          <w:szCs w:val="28"/>
          <w:lang w:val="zh-CN"/>
        </w:rPr>
        <w:t>高等数学</w:t>
      </w:r>
      <w:r>
        <w:rPr>
          <w:rFonts w:hint="eastAsia" w:ascii="宋体" w:hAnsi="宋体" w:eastAsia="宋体"/>
          <w:sz w:val="28"/>
          <w:szCs w:val="28"/>
        </w:rPr>
        <w:t>》</w:t>
      </w:r>
    </w:p>
    <w:p>
      <w:pPr>
        <w:spacing w:line="360" w:lineRule="auto"/>
        <w:ind w:firstLine="566" w:firstLineChars="200"/>
        <w:rPr>
          <w:rFonts w:ascii="宋体" w:hAnsi="宋体" w:eastAsia="宋体"/>
          <w:sz w:val="28"/>
          <w:szCs w:val="28"/>
        </w:rPr>
      </w:pPr>
      <w:r>
        <w:rPr>
          <w:rFonts w:hint="eastAsia" w:ascii="宋体" w:hAnsi="宋体" w:eastAsia="宋体"/>
          <w:sz w:val="28"/>
          <w:szCs w:val="28"/>
          <w:lang w:val="zh-CN"/>
        </w:rPr>
        <w:t>本课程主要内容包括函数、极限与连续、微积分学以及常微分方程和概论统计等。通过本课程的学习，提高学生</w:t>
      </w:r>
      <w:r>
        <w:rPr>
          <w:rFonts w:hint="eastAsia" w:ascii="宋体" w:hAnsi="宋体" w:eastAsia="宋体"/>
          <w:sz w:val="28"/>
          <w:szCs w:val="28"/>
        </w:rPr>
        <w:t>得</w:t>
      </w:r>
      <w:r>
        <w:rPr>
          <w:rFonts w:hint="eastAsia" w:ascii="宋体" w:hAnsi="宋体" w:eastAsia="宋体"/>
          <w:sz w:val="28"/>
          <w:szCs w:val="28"/>
          <w:lang w:val="zh-CN"/>
        </w:rPr>
        <w:t>文化素</w:t>
      </w:r>
      <w:r>
        <w:rPr>
          <w:rFonts w:hint="eastAsia" w:ascii="宋体" w:hAnsi="宋体" w:eastAsia="宋体"/>
          <w:sz w:val="28"/>
          <w:szCs w:val="28"/>
        </w:rPr>
        <w:t>养、</w:t>
      </w:r>
      <w:r>
        <w:rPr>
          <w:rFonts w:hint="eastAsia" w:ascii="宋体" w:hAnsi="宋体" w:eastAsia="宋体"/>
          <w:sz w:val="28"/>
          <w:szCs w:val="28"/>
          <w:lang w:val="zh-CN"/>
        </w:rPr>
        <w:t>培养学生数学运算和数学应用能力、逻辑思维能力以及严谨求实的科学态度，为学生学习专业知识、掌握职业技能、继续学习和职业生涯发展奠定良好的基础</w:t>
      </w:r>
      <w:r>
        <w:rPr>
          <w:rFonts w:hint="eastAsia" w:ascii="宋体" w:hAnsi="宋体" w:eastAsia="宋体"/>
          <w:sz w:val="28"/>
          <w:szCs w:val="28"/>
        </w:rPr>
        <w:t>并</w:t>
      </w:r>
      <w:r>
        <w:rPr>
          <w:rFonts w:hint="eastAsia" w:ascii="宋体" w:hAnsi="宋体" w:eastAsia="宋体"/>
          <w:sz w:val="28"/>
          <w:szCs w:val="28"/>
          <w:lang w:val="zh-CN"/>
        </w:rPr>
        <w:t>提供必需的数学基础知识和数学工具。</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11.《中华优秀传统文化》</w:t>
      </w:r>
    </w:p>
    <w:p>
      <w:pPr>
        <w:spacing w:line="360" w:lineRule="auto"/>
        <w:ind w:firstLine="566" w:firstLineChars="200"/>
        <w:rPr>
          <w:rFonts w:ascii="宋体" w:hAnsi="宋体" w:eastAsia="宋体"/>
          <w:sz w:val="28"/>
          <w:szCs w:val="28"/>
          <w:lang w:val="zh-CN"/>
        </w:rPr>
      </w:pPr>
      <w:r>
        <w:rPr>
          <w:rFonts w:hint="eastAsia" w:ascii="宋体" w:hAnsi="宋体" w:eastAsia="宋体"/>
          <w:sz w:val="28"/>
          <w:szCs w:val="28"/>
        </w:rPr>
        <w:t>《</w:t>
      </w:r>
      <w:r>
        <w:rPr>
          <w:rFonts w:hint="eastAsia" w:ascii="宋体" w:hAnsi="宋体" w:eastAsia="宋体"/>
          <w:sz w:val="28"/>
          <w:szCs w:val="28"/>
          <w:lang w:val="zh-CN"/>
        </w:rPr>
        <w:t>中华优秀传统文化</w:t>
      </w:r>
      <w:r>
        <w:rPr>
          <w:rFonts w:hint="eastAsia" w:ascii="宋体" w:hAnsi="宋体" w:eastAsia="宋体"/>
          <w:sz w:val="28"/>
          <w:szCs w:val="28"/>
        </w:rPr>
        <w:t>》</w:t>
      </w:r>
      <w:r>
        <w:rPr>
          <w:rFonts w:hint="eastAsia" w:ascii="宋体" w:hAnsi="宋体" w:eastAsia="宋体"/>
          <w:sz w:val="28"/>
          <w:szCs w:val="28"/>
          <w:lang w:val="zh-CN"/>
        </w:rPr>
        <w:t>是一门讲授中国优秀传统文化，传承中华文化和中国精神，提高学生人文素养的课程。本课程将职业特色和传统文化传承相结合，在教学内容上安排了传统哲学、文学、艺术、科技、宗教与民俗等知识，帮助学生深入了解中国博大精深的传统文化，领略传统文化的魅力，解读传统文化的精髓，增强学生民族文化自尊心、自信心、自豪感，提高学生可持续发展能力的教育，培养学生的文化素养和综合职业能力，引导学生不断提高自己的社会能力。</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12.《四史与宪法》</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本课程是一门思想政治教育基础课程，是介绍党史、新中国史、改革开放史、社会主义发展史以及宪法学内容的课程。通过学习本课程，使学生可以客观地评价新中国建设与社会发展的得失，了解中国共产党历史，认真总结经验教训，为当代建设有中国特色社会主义的事业提供历史启示。培养大学生的宪法意识，充分认识到宪法是我们社会行为的最高准则，自觉把宪法作为自己的政治修养、法律修养以及从事各种社会活动的最高准则。</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13.《铸牢中华民族共同体意识》</w:t>
      </w:r>
    </w:p>
    <w:p>
      <w:pPr>
        <w:spacing w:line="360" w:lineRule="auto"/>
        <w:ind w:firstLine="566" w:firstLineChars="200"/>
        <w:rPr>
          <w:rFonts w:ascii="宋体" w:hAnsi="宋体" w:eastAsia="宋体"/>
          <w:sz w:val="28"/>
          <w:szCs w:val="28"/>
        </w:rPr>
      </w:pPr>
      <w:r>
        <w:rPr>
          <w:rFonts w:hint="eastAsia" w:ascii="宋体" w:hAnsi="宋体" w:eastAsia="宋体"/>
          <w:sz w:val="28"/>
          <w:szCs w:val="28"/>
        </w:rPr>
        <w:t>《铸牢中华民族共同体意识》课程是一门系统地讲授铸牢中华民族共同体意识相关内容的思想政治理论课。它的理论性、政策性、现实性、知识性和导向性很强。本课程主要包括十五个专题，通过本课程的学习，深刻领会和掌握铸牢中华民族共同体意识这一习近平总书记关于民族理论的重大原创性论断。理解马克思主义处理民族问题的基本原则，理解中国特色解决民族问题的正确道路的科学内涵，了解中国民族及民族关系的历史和现状等。</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14.《思想道德与法治》</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《思想道德与法治》课程是各专业的公共基础课，是教育部规定的高等学校学生必修的课程，也是高等学校思想政治理论课核心课程。</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本课程是一门以马克思主义、毛泽东思想、邓小平理论和“三个代表”重要思想、科学发展观、习近平新时代中国特色社会主义思想为指导，根据党的十九大精神和中央文件精神，以世界观、人生观、价值观、道德观、法治观教育为重点，以社会主义荣辱观为主线，综合运用多学科知识，依据大学生成长的基本规律，教育和引导大学生认识自我、认识社会、认识时代特征，培养大学生良好的思想政治素质和道德品质，提高大学生的法治意识和法治素质为目的的课程。本课程对于全面实施科教兴国和人才强国战略,确保中国特色社会主义事业兴旺发达、后继有人，具有重大而深远的战略意义。</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15. 《毛泽东思想和中国特色社会主义理论体系概论》</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《毛泽东思想和中国特色社会主义理论体系概论》是全国普通高等学校各个专业的公共必修课，在高校思想政治理论课课程体系中居于核心地位。</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本课程教学主要目的和任务：通过《毛泽东思想和中国特色社会主义理论体系概论》的教学，使大学生了解马克思主义中国化进程中将马克思主义基本原理与中国具体实际相结合的主线，理解中国化马克思主义理论成果的主要内容、精神实质、历史地位和指导意义，重点掌握中国特色社会主义理论体系，帮助大学生树立正确的世界观、人生观、价值观，使他们坚定在党的领导下走中国特色社会主义道路的理想信念，努力培养德智体美全面发展的、有理想、有道德、有文化、有纪律的社会主义事业的建设者和接班人。</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6. 《习近平新时代中国特色社会主义思想概论》</w:t>
      </w:r>
    </w:p>
    <w:p>
      <w:pPr>
        <w:spacing w:line="360" w:lineRule="auto"/>
        <w:ind w:firstLine="566" w:firstLineChars="200"/>
        <w:rPr>
          <w:rFonts w:ascii="宋体" w:hAnsi="宋体" w:eastAsia="宋体"/>
          <w:sz w:val="28"/>
          <w:szCs w:val="28"/>
        </w:rPr>
      </w:pPr>
      <w:r>
        <w:rPr>
          <w:rFonts w:ascii="宋体" w:hAnsi="宋体" w:eastAsia="宋体"/>
          <w:sz w:val="28"/>
          <w:szCs w:val="28"/>
        </w:rPr>
        <w:t>《习近平新时代中国特色社会主义思想概论》课，是马克思列宁主义、毛泽东思想、邓小平理论、“三个代表”重要思想、科学发展观的继承和发展，是马克思主义中国化最新成果，其内容包含中国特色社会主义总任务、五位一体、四个全面战略布局、中华民族伟大复兴重要保障、中国特色大国外交、坚持和加强党的领导、以及十八大以来形成的重要性理论成果。</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7</w:t>
      </w:r>
      <w:r>
        <w:rPr>
          <w:rFonts w:hint="eastAsia" w:ascii="宋体" w:hAnsi="宋体" w:eastAsia="宋体"/>
          <w:sz w:val="28"/>
          <w:szCs w:val="28"/>
        </w:rPr>
        <w:t>. 《军事理论》</w:t>
      </w:r>
    </w:p>
    <w:p>
      <w:pPr>
        <w:spacing w:line="360" w:lineRule="auto"/>
        <w:ind w:firstLine="566" w:firstLineChars="200"/>
        <w:rPr>
          <w:rFonts w:ascii="宋体" w:hAnsi="宋体" w:eastAsia="宋体"/>
          <w:sz w:val="28"/>
          <w:szCs w:val="28"/>
        </w:rPr>
      </w:pPr>
      <w:r>
        <w:rPr>
          <w:rFonts w:hint="eastAsia" w:ascii="宋体" w:hAnsi="宋体" w:eastAsia="宋体"/>
          <w:sz w:val="28"/>
          <w:szCs w:val="28"/>
        </w:rPr>
        <w:t>通过本课程的学习并结合军事训练，使学生掌握基本的军事理论知识，增强国防观念和国防安全意识，激发爱国热情，提高思想政治觉悟和综合素质，强化居安思危的国防观念、集体主义观念，加强组织性与纪律性，促进大学生综合素质的提高。</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8</w:t>
      </w:r>
      <w:r>
        <w:rPr>
          <w:rFonts w:hint="eastAsia" w:ascii="宋体" w:hAnsi="宋体" w:eastAsia="宋体"/>
          <w:sz w:val="28"/>
          <w:szCs w:val="28"/>
        </w:rPr>
        <w:t>. 《劳动实践》</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本课程是为了进一步贯彻落实党的教育方针，培养劳动意识，养成良好的劳动习惯，提高生活自理能力；培养学生热爱学校，热爱劳动和珍惜劳动成果的观念，增强学生积极参与学校管理的意识，维护正常的教学秩序，保障学生的身心健康，促进学生德智体美劳全面发展。</w:t>
      </w:r>
    </w:p>
    <w:p>
      <w:pPr>
        <w:spacing w:line="360" w:lineRule="auto"/>
        <w:ind w:firstLine="566"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9</w:t>
      </w:r>
      <w:r>
        <w:rPr>
          <w:rFonts w:hint="eastAsia" w:ascii="宋体" w:hAnsi="宋体" w:eastAsia="宋体"/>
          <w:sz w:val="28"/>
          <w:szCs w:val="28"/>
        </w:rPr>
        <w:t>. 《劳动教育》</w:t>
      </w:r>
    </w:p>
    <w:p>
      <w:pPr>
        <w:spacing w:line="360" w:lineRule="auto"/>
        <w:ind w:firstLine="566" w:firstLineChars="200"/>
        <w:rPr>
          <w:rFonts w:ascii="宋体" w:hAnsi="宋体" w:eastAsia="宋体"/>
          <w:sz w:val="28"/>
          <w:szCs w:val="28"/>
        </w:rPr>
      </w:pPr>
      <w:r>
        <w:rPr>
          <w:rFonts w:hint="eastAsia" w:ascii="宋体" w:hAnsi="宋体" w:eastAsia="宋体"/>
          <w:sz w:val="28"/>
          <w:szCs w:val="28"/>
        </w:rPr>
        <w:t>本课程以普及劳动科学知识、提高劳动科学素养为着眼点，把劳动科学发展和劳动实践需求两个维度相结合，针对当代大学生特点，从劳动品德涵养、劳动情怀培育、专业技能习得、创新创业激励、职业素养提升、劳动权益保护、劳动文化塑造、团队意识培养、未来劳动认知等多个维度出发，全面系统介绍劳动学科领域基本知识，旨在引导新时代大学生坚定树立马克思主义劳动观，真正懂得劳动创造价值、劳动关乎幸福人生的道理。</w:t>
      </w:r>
    </w:p>
    <w:p>
      <w:pPr>
        <w:spacing w:line="360" w:lineRule="auto"/>
        <w:ind w:firstLine="566" w:firstLineChars="200"/>
        <w:rPr>
          <w:rFonts w:ascii="宋体" w:hAnsi="宋体" w:eastAsia="宋体"/>
          <w:sz w:val="28"/>
          <w:szCs w:val="28"/>
        </w:rPr>
      </w:pPr>
      <w:r>
        <w:rPr>
          <w:rFonts w:ascii="宋体" w:hAnsi="宋体" w:eastAsia="宋体"/>
          <w:sz w:val="28"/>
          <w:szCs w:val="28"/>
        </w:rPr>
        <w:t>20</w:t>
      </w:r>
      <w:r>
        <w:rPr>
          <w:rFonts w:hint="eastAsia" w:ascii="宋体" w:hAnsi="宋体" w:eastAsia="宋体"/>
          <w:sz w:val="28"/>
          <w:szCs w:val="28"/>
        </w:rPr>
        <w:t>. 《职业素养》</w:t>
      </w:r>
    </w:p>
    <w:p>
      <w:pPr>
        <w:spacing w:line="360" w:lineRule="auto"/>
        <w:ind w:firstLine="566" w:firstLineChars="200"/>
        <w:rPr>
          <w:rFonts w:ascii="宋体" w:hAnsi="宋体" w:eastAsia="宋体"/>
          <w:sz w:val="28"/>
          <w:szCs w:val="28"/>
        </w:rPr>
      </w:pPr>
      <w:r>
        <w:rPr>
          <w:rFonts w:hint="eastAsia" w:ascii="宋体" w:hAnsi="宋体" w:eastAsia="宋体"/>
          <w:sz w:val="28"/>
          <w:szCs w:val="28"/>
        </w:rPr>
        <w:t>《职业素养》课程是为了落实中共中央国务院“普遍提高大学生的人文素养“和教育部“针对高等职业院校学生的特点,培养学生的社会适应性,教育学生树立终身学习理念,提高学习能力,学会交流沟通和团队协作,提高学生的实践能力、创造能力、就业能力和创业能力”的文件精神,面向高职院校学生开设的一门重要必修公共基础课。通过课程学习，帮助学生提升职业意识，规范职业行为，养成优秀职业品质。引导学生了解职场、了解职业，以一个准职业人的身份要求自己。使学生成为崇尚劳动、敬业守信、创新务实的社会好公民；成为立足岗位、服务群众、奉献社会的铁路准员工；成为德才兼备、创新进取、精益求精的优秀工匠。</w:t>
      </w:r>
    </w:p>
    <w:p>
      <w:pPr>
        <w:spacing w:line="360" w:lineRule="auto"/>
        <w:ind w:firstLine="566"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1</w:t>
      </w:r>
      <w:r>
        <w:rPr>
          <w:rFonts w:hint="eastAsia" w:ascii="宋体" w:hAnsi="宋体" w:eastAsia="宋体"/>
          <w:sz w:val="28"/>
          <w:szCs w:val="28"/>
        </w:rPr>
        <w:t>. 《创新创业教育》</w:t>
      </w:r>
    </w:p>
    <w:p>
      <w:pPr>
        <w:spacing w:line="360" w:lineRule="auto"/>
        <w:ind w:firstLine="566" w:firstLineChars="200"/>
        <w:rPr>
          <w:rFonts w:ascii="宋体" w:hAnsi="宋体" w:eastAsia="宋体" w:cs="宋体"/>
          <w:sz w:val="28"/>
          <w:szCs w:val="28"/>
        </w:rPr>
      </w:pPr>
      <w:r>
        <w:rPr>
          <w:rFonts w:hint="eastAsia" w:ascii="宋体" w:hAnsi="宋体" w:eastAsia="宋体"/>
          <w:sz w:val="28"/>
          <w:szCs w:val="28"/>
        </w:rPr>
        <w:t>《创新创业教育》在国家“大众创业、万众创新”的新时代背景下,创新、创业已成为时代鲜明的特征和大学生们自我实现价值的首要选择,为了促进我院学生的创业与就业,开设的一门重要必修公共基础课。</w:t>
      </w:r>
    </w:p>
    <w:p>
      <w:pPr>
        <w:adjustRightInd w:val="0"/>
        <w:snapToGrid w:val="0"/>
        <w:spacing w:line="360" w:lineRule="auto"/>
        <w:ind w:firstLine="566" w:firstLineChars="200"/>
        <w:outlineLvl w:val="1"/>
        <w:rPr>
          <w:rFonts w:ascii="宋体" w:hAnsi="宋体" w:eastAsia="宋体" w:cs="宋体"/>
          <w:b/>
          <w:sz w:val="28"/>
          <w:szCs w:val="28"/>
        </w:rPr>
      </w:pPr>
      <w:bookmarkStart w:id="22" w:name="_Toc87642133"/>
      <w:r>
        <w:rPr>
          <w:rFonts w:hint="eastAsia" w:ascii="宋体" w:hAnsi="宋体" w:eastAsia="宋体" w:cs="宋体"/>
          <w:b/>
          <w:sz w:val="28"/>
          <w:szCs w:val="28"/>
        </w:rPr>
        <w:t>（二）专业基础课程</w:t>
      </w:r>
      <w:bookmarkEnd w:id="22"/>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教育学》：本课程的任务就是要探讨、揭示种种教育的规律，阐明各种教育问题，建立教育学理论体系。教育学是以教育现象、教育问题为研究对象，归纳总结人类教育活动的科学理论与实践，探索解决教育活动产生、发展过程中遇到的实际教育问题，从而揭示出一般教育规律的一门社会科学。教育是一种广泛存在于人类社会生活中、有目的培养人才的活动，教育学的研究具有客观性、必然性、稳定性、重复性、现实性、辨证性、科学性。</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《教育心理学》：本课程它既是</w:t>
      </w:r>
      <w:r>
        <w:fldChar w:fldCharType="begin"/>
      </w:r>
      <w:r>
        <w:instrText xml:space="preserve"> HYPERLINK "http://www.so.com/s?q=%E5%BF%83%E7%90%86%E5%AD%A6&amp;ie=utf-8&amp;src=internal_wenda_recommend_textn" \t "https://wenda.so.com/q/_blank" </w:instrText>
      </w:r>
      <w:r>
        <w:fldChar w:fldCharType="separate"/>
      </w:r>
      <w:r>
        <w:rPr>
          <w:rFonts w:hint="eastAsia" w:ascii="宋体" w:hAnsi="宋体" w:eastAsia="宋体" w:cs="宋体"/>
          <w:sz w:val="28"/>
          <w:szCs w:val="28"/>
        </w:rPr>
        <w:t>心理学</w:t>
      </w:r>
      <w:r>
        <w:rPr>
          <w:rFonts w:hint="eastAsia" w:ascii="宋体" w:hAnsi="宋体" w:eastAsia="宋体" w:cs="宋体"/>
          <w:sz w:val="28"/>
          <w:szCs w:val="28"/>
        </w:rPr>
        <w:fldChar w:fldCharType="end"/>
      </w:r>
      <w:r>
        <w:rPr>
          <w:rFonts w:hint="eastAsia" w:ascii="宋体" w:hAnsi="宋体" w:eastAsia="宋体" w:cs="宋体"/>
          <w:sz w:val="28"/>
          <w:szCs w:val="28"/>
        </w:rPr>
        <w:t>的一个</w:t>
      </w:r>
      <w:r>
        <w:fldChar w:fldCharType="begin"/>
      </w:r>
      <w:r>
        <w:instrText xml:space="preserve"> HYPERLINK "http://www.so.com/s?q=%E5%88%86%E6%94%AF&amp;ie=utf-8&amp;src=internal_wenda_recommend_textn" \t "https://wenda.so.com/q/_blank" </w:instrText>
      </w:r>
      <w:r>
        <w:fldChar w:fldCharType="separate"/>
      </w:r>
      <w:r>
        <w:rPr>
          <w:rFonts w:hint="eastAsia" w:ascii="宋体" w:hAnsi="宋体" w:eastAsia="宋体" w:cs="宋体"/>
          <w:sz w:val="28"/>
          <w:szCs w:val="28"/>
        </w:rPr>
        <w:t>分支</w:t>
      </w:r>
      <w:r>
        <w:rPr>
          <w:rFonts w:hint="eastAsia" w:ascii="宋体" w:hAnsi="宋体" w:eastAsia="宋体" w:cs="宋体"/>
          <w:sz w:val="28"/>
          <w:szCs w:val="28"/>
        </w:rPr>
        <w:fldChar w:fldCharType="end"/>
      </w:r>
      <w:r>
        <w:rPr>
          <w:rFonts w:hint="eastAsia" w:ascii="宋体" w:hAnsi="宋体" w:eastAsia="宋体" w:cs="宋体"/>
          <w:sz w:val="28"/>
          <w:szCs w:val="28"/>
        </w:rPr>
        <w:t>学科,又是以教育与</w:t>
      </w:r>
      <w:r>
        <w:fldChar w:fldCharType="begin"/>
      </w:r>
      <w:r>
        <w:instrText xml:space="preserve"> HYPERLINK "http://www.so.com/s?q=%E5%BF%83%E7%90%86&amp;ie=utf-8&amp;src=internal_wenda_recommend_textn" \t "https://wenda.so.com/q/_blank" </w:instrText>
      </w:r>
      <w:r>
        <w:fldChar w:fldCharType="separate"/>
      </w:r>
      <w:r>
        <w:rPr>
          <w:rFonts w:hint="eastAsia" w:ascii="宋体" w:hAnsi="宋体" w:eastAsia="宋体" w:cs="宋体"/>
          <w:sz w:val="28"/>
          <w:szCs w:val="28"/>
        </w:rPr>
        <w:t>心理</w:t>
      </w:r>
      <w:r>
        <w:rPr>
          <w:rFonts w:hint="eastAsia" w:ascii="宋体" w:hAnsi="宋体" w:eastAsia="宋体" w:cs="宋体"/>
          <w:sz w:val="28"/>
          <w:szCs w:val="28"/>
        </w:rPr>
        <w:fldChar w:fldCharType="end"/>
      </w:r>
      <w:r>
        <w:rPr>
          <w:rFonts w:hint="eastAsia" w:ascii="宋体" w:hAnsi="宋体" w:eastAsia="宋体" w:cs="宋体"/>
          <w:sz w:val="28"/>
          <w:szCs w:val="28"/>
        </w:rPr>
        <w:t>结合而产生的</w:t>
      </w:r>
      <w:r>
        <w:fldChar w:fldCharType="begin"/>
      </w:r>
      <w:r>
        <w:instrText xml:space="preserve"> HYPERLINK "http://www.so.com/s?q=%E4%BA%A4%E5%8F%89%E5%AD%A6%E7%A7%91&amp;ie=utf-8&amp;src=internal_wenda_recommend_textn" \t "https://wenda.so.com/q/_blank" </w:instrText>
      </w:r>
      <w:r>
        <w:fldChar w:fldCharType="separate"/>
      </w:r>
      <w:r>
        <w:rPr>
          <w:rFonts w:hint="eastAsia" w:ascii="宋体" w:hAnsi="宋体" w:eastAsia="宋体" w:cs="宋体"/>
          <w:sz w:val="28"/>
          <w:szCs w:val="28"/>
        </w:rPr>
        <w:t>交叉学科</w:t>
      </w:r>
      <w:r>
        <w:rPr>
          <w:rFonts w:hint="eastAsia" w:ascii="宋体" w:hAnsi="宋体" w:eastAsia="宋体" w:cs="宋体"/>
          <w:sz w:val="28"/>
          <w:szCs w:val="28"/>
        </w:rPr>
        <w:fldChar w:fldCharType="end"/>
      </w:r>
      <w:r>
        <w:rPr>
          <w:rFonts w:hint="eastAsia" w:ascii="宋体" w:hAnsi="宋体" w:eastAsia="宋体" w:cs="宋体"/>
          <w:sz w:val="28"/>
          <w:szCs w:val="28"/>
        </w:rPr>
        <w:t>。</w:t>
      </w:r>
      <w:r>
        <w:fldChar w:fldCharType="begin"/>
      </w:r>
      <w:r>
        <w:instrText xml:space="preserve"> HYPERLINK "http://www.so.com/s?q=%E6%95%99%E8%82%B2%E5%BF%83%E7%90%86%E5%AD%A6&amp;ie=utf-8&amp;src=internal_wenda_recommend_textn" \t "https://wenda.so.com/q/_blank" </w:instrText>
      </w:r>
      <w:r>
        <w:fldChar w:fldCharType="separate"/>
      </w:r>
      <w:r>
        <w:rPr>
          <w:rFonts w:hint="eastAsia" w:ascii="宋体" w:hAnsi="宋体" w:eastAsia="宋体" w:cs="宋体"/>
          <w:sz w:val="28"/>
          <w:szCs w:val="28"/>
        </w:rPr>
        <w:t>教育心理学</w:t>
      </w:r>
      <w:r>
        <w:rPr>
          <w:rFonts w:hint="eastAsia" w:ascii="宋体" w:hAnsi="宋体" w:eastAsia="宋体" w:cs="宋体"/>
          <w:sz w:val="28"/>
          <w:szCs w:val="28"/>
        </w:rPr>
        <w:fldChar w:fldCharType="end"/>
      </w:r>
      <w:r>
        <w:rPr>
          <w:rFonts w:hint="eastAsia" w:ascii="宋体" w:hAnsi="宋体" w:eastAsia="宋体" w:cs="宋体"/>
          <w:sz w:val="28"/>
          <w:szCs w:val="28"/>
        </w:rPr>
        <w:t>研究的对象是</w:t>
      </w:r>
      <w:r>
        <w:fldChar w:fldCharType="begin"/>
      </w:r>
      <w:r>
        <w:instrText xml:space="preserve"> HYPERLINK "http://www.so.com/s?q=%E6%95%99%E8%82%B2%E8%BF%87%E7%A8%8B&amp;ie=utf-8&amp;src=internal_wenda_recommend_textn" \t "https://wenda.so.com/q/_blank" </w:instrText>
      </w:r>
      <w:r>
        <w:fldChar w:fldCharType="separate"/>
      </w:r>
      <w:r>
        <w:rPr>
          <w:rFonts w:hint="eastAsia" w:ascii="宋体" w:hAnsi="宋体" w:eastAsia="宋体" w:cs="宋体"/>
          <w:sz w:val="28"/>
          <w:szCs w:val="28"/>
        </w:rPr>
        <w:t>教育过程</w:t>
      </w:r>
      <w:r>
        <w:rPr>
          <w:rFonts w:hint="eastAsia" w:ascii="宋体" w:hAnsi="宋体" w:eastAsia="宋体" w:cs="宋体"/>
          <w:sz w:val="28"/>
          <w:szCs w:val="28"/>
        </w:rPr>
        <w:fldChar w:fldCharType="end"/>
      </w:r>
      <w:r>
        <w:rPr>
          <w:rFonts w:hint="eastAsia" w:ascii="宋体" w:hAnsi="宋体" w:eastAsia="宋体" w:cs="宋体"/>
          <w:sz w:val="28"/>
          <w:szCs w:val="28"/>
        </w:rPr>
        <w:t>中学生的各种</w:t>
      </w:r>
      <w:r>
        <w:fldChar w:fldCharType="begin"/>
      </w:r>
      <w:r>
        <w:instrText xml:space="preserve"> HYPERLINK "http://www.so.com/s?q=%E5%BF%83%E7%90%86%E7%8E%B0%E8%B1%A1&amp;ie=utf-8&amp;src=internal_wenda_recommend_textn" \t "https://wenda.so.com/q/_blank" </w:instrText>
      </w:r>
      <w:r>
        <w:fldChar w:fldCharType="separate"/>
      </w:r>
      <w:r>
        <w:rPr>
          <w:rFonts w:hint="eastAsia" w:ascii="宋体" w:hAnsi="宋体" w:eastAsia="宋体" w:cs="宋体"/>
          <w:sz w:val="28"/>
          <w:szCs w:val="28"/>
        </w:rPr>
        <w:t>心理现象</w:t>
      </w:r>
      <w:r>
        <w:rPr>
          <w:rFonts w:hint="eastAsia" w:ascii="宋体" w:hAnsi="宋体" w:eastAsia="宋体" w:cs="宋体"/>
          <w:sz w:val="28"/>
          <w:szCs w:val="28"/>
        </w:rPr>
        <w:fldChar w:fldCharType="end"/>
      </w:r>
      <w:r>
        <w:rPr>
          <w:rFonts w:hint="eastAsia" w:ascii="宋体" w:hAnsi="宋体" w:eastAsia="宋体" w:cs="宋体"/>
          <w:sz w:val="28"/>
          <w:szCs w:val="28"/>
        </w:rPr>
        <w:t>及其变化规律、并根据这些</w:t>
      </w:r>
      <w:r>
        <w:fldChar w:fldCharType="begin"/>
      </w:r>
      <w:r>
        <w:instrText xml:space="preserve"> HYPERLINK "http://www.so.com/s?q=%E8%A7%84%E5%BE%8B&amp;ie=utf-8&amp;src=internal_wenda_recommend_textn" \t "https://wenda.so.com/q/_blank" </w:instrText>
      </w:r>
      <w:r>
        <w:fldChar w:fldCharType="separate"/>
      </w:r>
      <w:r>
        <w:rPr>
          <w:rFonts w:hint="eastAsia" w:ascii="宋体" w:hAnsi="宋体" w:eastAsia="宋体" w:cs="宋体"/>
          <w:sz w:val="28"/>
          <w:szCs w:val="28"/>
        </w:rPr>
        <w:t>规律</w:t>
      </w:r>
      <w:r>
        <w:rPr>
          <w:rFonts w:hint="eastAsia" w:ascii="宋体" w:hAnsi="宋体" w:eastAsia="宋体" w:cs="宋体"/>
          <w:sz w:val="28"/>
          <w:szCs w:val="28"/>
        </w:rPr>
        <w:fldChar w:fldCharType="end"/>
      </w:r>
      <w:r>
        <w:rPr>
          <w:rFonts w:hint="eastAsia" w:ascii="宋体" w:hAnsi="宋体" w:eastAsia="宋体" w:cs="宋体"/>
          <w:sz w:val="28"/>
          <w:szCs w:val="28"/>
        </w:rPr>
        <w:t>研究如何有效</w:t>
      </w:r>
      <w:r>
        <w:fldChar w:fldCharType="begin"/>
      </w:r>
      <w:r>
        <w:instrText xml:space="preserve"> HYPERLINK "http://www.so.com/s?q=%E5%9C%B0%E5%AD%A6&amp;ie=utf-8&amp;src=internal_wenda_recommend_textn" \t "https://wenda.so.com/q/_blank" </w:instrText>
      </w:r>
      <w:r>
        <w:fldChar w:fldCharType="separate"/>
      </w:r>
      <w:r>
        <w:rPr>
          <w:rFonts w:hint="eastAsia" w:ascii="宋体" w:hAnsi="宋体" w:eastAsia="宋体" w:cs="宋体"/>
          <w:sz w:val="28"/>
          <w:szCs w:val="28"/>
        </w:rPr>
        <w:t>地学</w:t>
      </w:r>
      <w:r>
        <w:rPr>
          <w:rFonts w:hint="eastAsia" w:ascii="宋体" w:hAnsi="宋体" w:eastAsia="宋体" w:cs="宋体"/>
          <w:sz w:val="28"/>
          <w:szCs w:val="28"/>
        </w:rPr>
        <w:fldChar w:fldCharType="end"/>
      </w:r>
      <w:r>
        <w:rPr>
          <w:rFonts w:hint="eastAsia" w:ascii="宋体" w:hAnsi="宋体" w:eastAsia="宋体" w:cs="宋体"/>
          <w:sz w:val="28"/>
          <w:szCs w:val="28"/>
        </w:rPr>
        <w:t>与教，从这个</w:t>
      </w:r>
      <w:r>
        <w:fldChar w:fldCharType="begin"/>
      </w:r>
      <w:r>
        <w:instrText xml:space="preserve"> HYPERLINK "http://www.so.com/s?q=%E5%AE%9A%E4%B9%89&amp;ie=utf-8&amp;src=internal_wenda_recommend_textn" \t "https://wenda.so.com/q/_blank" </w:instrText>
      </w:r>
      <w:r>
        <w:fldChar w:fldCharType="separate"/>
      </w:r>
      <w:r>
        <w:rPr>
          <w:rFonts w:hint="eastAsia" w:ascii="宋体" w:hAnsi="宋体" w:eastAsia="宋体" w:cs="宋体"/>
          <w:sz w:val="28"/>
          <w:szCs w:val="28"/>
        </w:rPr>
        <w:t>定义</w:t>
      </w:r>
      <w:r>
        <w:rPr>
          <w:rFonts w:hint="eastAsia" w:ascii="宋体" w:hAnsi="宋体" w:eastAsia="宋体" w:cs="宋体"/>
          <w:sz w:val="28"/>
          <w:szCs w:val="28"/>
        </w:rPr>
        <w:fldChar w:fldCharType="end"/>
      </w:r>
      <w:r>
        <w:rPr>
          <w:rFonts w:hint="eastAsia" w:ascii="宋体" w:hAnsi="宋体" w:eastAsia="宋体" w:cs="宋体"/>
          <w:sz w:val="28"/>
          <w:szCs w:val="28"/>
        </w:rPr>
        <w:t>出发，教育心理学应该是一门</w:t>
      </w:r>
      <w:r>
        <w:fldChar w:fldCharType="begin"/>
      </w:r>
      <w:r>
        <w:instrText xml:space="preserve"> HYPERLINK "http://www.so.com/s?q=%E5%9F%BA%E7%A1%80&amp;ie=utf-8&amp;src=internal_wenda_recommend_textn" \t "https://wenda.so.com/q/_blank" </w:instrText>
      </w:r>
      <w:r>
        <w:fldChar w:fldCharType="separate"/>
      </w:r>
      <w:r>
        <w:rPr>
          <w:rFonts w:hint="eastAsia" w:ascii="宋体" w:hAnsi="宋体" w:eastAsia="宋体" w:cs="宋体"/>
          <w:sz w:val="28"/>
          <w:szCs w:val="28"/>
        </w:rPr>
        <w:t>基础</w:t>
      </w:r>
      <w:r>
        <w:rPr>
          <w:rFonts w:hint="eastAsia" w:ascii="宋体" w:hAnsi="宋体" w:eastAsia="宋体" w:cs="宋体"/>
          <w:sz w:val="28"/>
          <w:szCs w:val="28"/>
        </w:rPr>
        <w:fldChar w:fldCharType="end"/>
      </w:r>
      <w:r>
        <w:rPr>
          <w:rFonts w:hint="eastAsia" w:ascii="宋体" w:hAnsi="宋体" w:eastAsia="宋体" w:cs="宋体"/>
          <w:sz w:val="28"/>
          <w:szCs w:val="28"/>
        </w:rPr>
        <w:t>研究和应用研究并重的学科。教育心理学作为心理学的分支学科具有较强的理论性，作为指导教育实践活动的学科又具有极为鲜明的实践性与应用性。</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幼儿卫生与保育》：本课程的目的在于使学生初步掌握从事幼儿教育工作所必需的卫生保育基本知识，初步学会运用学前卫生保育知识解决幼儿园的保育问题，培养热爱幼儿、一切为了孩子的情感，树立热爱幼儿教育的专业思想。</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《幼儿园五大领域活动指导》：本课程的目的在于使学生初步掌握从事幼儿教育工作所必需的语言、科学、艺术、健康和社会五大领域的专业理论知识储备及实践能力。</w:t>
      </w:r>
    </w:p>
    <w:p>
      <w:pPr>
        <w:adjustRightInd w:val="0"/>
        <w:snapToGrid w:val="0"/>
        <w:spacing w:line="360" w:lineRule="auto"/>
        <w:ind w:firstLine="566" w:firstLineChars="200"/>
        <w:outlineLvl w:val="1"/>
        <w:rPr>
          <w:rFonts w:ascii="宋体" w:hAnsi="宋体" w:eastAsia="宋体" w:cs="宋体"/>
          <w:b/>
          <w:sz w:val="28"/>
          <w:szCs w:val="28"/>
        </w:rPr>
      </w:pPr>
      <w:bookmarkStart w:id="23" w:name="_Toc87642134"/>
      <w:r>
        <w:rPr>
          <w:rFonts w:hint="eastAsia" w:ascii="宋体" w:hAnsi="宋体" w:eastAsia="宋体" w:cs="宋体"/>
          <w:b/>
          <w:sz w:val="28"/>
          <w:szCs w:val="28"/>
        </w:rPr>
        <w:t>（三）专业技术课程</w:t>
      </w:r>
      <w:bookmarkEnd w:id="23"/>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幼儿歌曲演唱》：本课程是学前教育专业技术课，是一门具有较强技术训练特点的重要课程,是训练学生运用科学发声方法进行歌唱的必修课。学生学会和掌握正确的发声的发声方法,具有一定的演唱技能技巧。学会正确的分析和处理风格各异、类别不同的声乐作品,并具有一定的范唱能力。掌握童声和变声期歌唱发声的训练方法。具备从事幼儿园音乐唱歌教学,从事群众文化事业工作的能力。</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钢琴与幼儿歌曲伴奏》：本课程是学前教育专业技术课,是学习音乐各相关课程的基础,通过本课程教学,使学生基本掌握钢琴学的基本内容、基本过程、基本规律、基原则和基木方法:初步熟悉和了解不同类型的钢琴作品,并同时具备必要的钢琴弹奏技能。本课程融知识性、技能性、艺术性和实践性为一体,对提高学生的全面素质、发展学生的音乐才能具有重要作用。</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舞蹈与幼儿舞蹈创编》：舞蹈教育形象、生动活泼、感染力强,是幼儿十分喜爱、易于接受的一种艺术形式,舞蹈教育适合幼儿的发育成长,使之更好地掌握身体以表达丰富的内心世界。课程让学生对动作、音乐、节奏等的感知更敏锐，培养儿童创造力、即兴表演能力以及艺术欣赏力和鉴别力。</w:t>
      </w:r>
    </w:p>
    <w:p>
      <w:pPr>
        <w:spacing w:line="360" w:lineRule="auto"/>
        <w:ind w:firstLine="566" w:firstLineChars="20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教师口语》：本课程是学前教育专业技术课，针对学前教育专业学生取得教师资格证条件之一，学生普通话水平测试成绩二级甲等及以上，开设本门课程对学生语言能力进行系统性培训、提升语言能力考核水平，确保学生顺利取得幼儿教师资格。</w:t>
      </w:r>
    </w:p>
    <w:p>
      <w:pPr>
        <w:adjustRightInd w:val="0"/>
        <w:snapToGrid w:val="0"/>
        <w:spacing w:line="360" w:lineRule="auto"/>
        <w:ind w:firstLine="566" w:firstLineChars="200"/>
        <w:outlineLvl w:val="1"/>
        <w:rPr>
          <w:rFonts w:hint="eastAsia" w:ascii="宋体" w:hAnsi="宋体" w:eastAsia="宋体" w:cs="宋体"/>
          <w:b/>
          <w:sz w:val="28"/>
          <w:szCs w:val="28"/>
          <w:lang w:val="en-US" w:eastAsia="zh-CN"/>
        </w:rPr>
      </w:pPr>
      <w:r>
        <w:rPr>
          <w:rFonts w:hint="eastAsia" w:ascii="宋体" w:hAnsi="宋体" w:eastAsia="宋体" w:cs="宋体"/>
          <w:b/>
          <w:sz w:val="28"/>
          <w:szCs w:val="28"/>
        </w:rPr>
        <w:t>（四）专业课</w:t>
      </w:r>
      <w:r>
        <w:rPr>
          <w:rFonts w:hint="eastAsia" w:ascii="宋体" w:hAnsi="宋体" w:eastAsia="宋体" w:cs="宋体"/>
          <w:b/>
          <w:sz w:val="28"/>
          <w:szCs w:val="28"/>
          <w:lang w:val="en-US" w:eastAsia="zh-CN"/>
        </w:rPr>
        <w:t>核心课</w:t>
      </w:r>
    </w:p>
    <w:p>
      <w:pPr>
        <w:spacing w:line="360" w:lineRule="auto"/>
        <w:ind w:firstLine="566"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幼儿游戏与指导</w:t>
      </w:r>
      <w:r>
        <w:rPr>
          <w:rFonts w:hint="eastAsia" w:ascii="宋体" w:hAnsi="宋体" w:eastAsia="宋体" w:cs="宋体"/>
          <w:sz w:val="28"/>
          <w:szCs w:val="28"/>
          <w:lang w:eastAsia="zh-CN"/>
        </w:rPr>
        <w:t>》：</w:t>
      </w:r>
      <w:r>
        <w:rPr>
          <w:rFonts w:hint="eastAsia" w:ascii="宋体" w:hAnsi="宋体" w:eastAsia="宋体" w:cs="宋体"/>
          <w:sz w:val="28"/>
          <w:szCs w:val="28"/>
        </w:rPr>
        <w:t>根据幼儿的游戏兴趣和主题活动需要创设适宜的活动区并提供相应的材料。根据幼儿游戏活动的需要选择适宜的时机和方式介入并支持幼儿的游戏活动。采用多种形式观察、记录和评价幼儿游</w:t>
      </w:r>
      <w:r>
        <w:rPr>
          <w:rFonts w:hint="eastAsia" w:ascii="宋体" w:hAnsi="宋体" w:eastAsia="宋体" w:cs="宋体"/>
          <w:sz w:val="28"/>
          <w:szCs w:val="28"/>
          <w:lang w:val="en-US" w:eastAsia="zh-CN"/>
        </w:rPr>
        <w:t>戏</w:t>
      </w:r>
    </w:p>
    <w:p>
      <w:pPr>
        <w:spacing w:line="360" w:lineRule="auto"/>
        <w:ind w:firstLine="566"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《幼儿园课程概论》：开展幼儿园课程设计、资源开发等工作。制订适宜的幼儿园课程目标。选择适宜的幼儿园课程内容，综合运用课程资源，有效组织与实施幼儿园课程。对幼儿园课程方案进行评价</w:t>
      </w:r>
    </w:p>
    <w:p>
      <w:pPr>
        <w:spacing w:line="360" w:lineRule="auto"/>
        <w:ind w:firstLine="566"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《幼儿园教育环境创设与利用》：利用环境设计要素，进行幼儿园主题环境及户外环境设计。根据教育内容和幼儿身心发展特点，  创设区域活动环境，为区域活动提供适宜的玩具和材料。打造幼儿园特色环境</w:t>
      </w:r>
    </w:p>
    <w:p>
      <w:pPr>
        <w:spacing w:line="360" w:lineRule="auto"/>
        <w:ind w:firstLine="566"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《幼儿园班级管理》：制订各年龄班的学期、月、周等管理</w:t>
      </w:r>
      <w:r>
        <w:rPr>
          <w:rFonts w:hint="eastAsia" w:ascii="宋体" w:hAnsi="宋体" w:eastAsia="宋体" w:cs="宋体"/>
          <w:sz w:val="28"/>
          <w:szCs w:val="28"/>
          <w:lang w:val="en-US" w:eastAsia="zh-CN"/>
        </w:rPr>
        <w:t>计</w:t>
      </w:r>
      <w:r>
        <w:rPr>
          <w:rFonts w:hint="eastAsia" w:ascii="宋体" w:hAnsi="宋体" w:eastAsia="宋体" w:cs="宋体"/>
          <w:sz w:val="28"/>
          <w:szCs w:val="28"/>
          <w:lang w:eastAsia="zh-CN"/>
        </w:rPr>
        <w:t>划，建立班级一日活动常规。开展幼儿园不同年龄班的生活管理、教育管理等工作。开展幼儿园班级间管理、幼儿社区活动管理等工作</w:t>
      </w:r>
    </w:p>
    <w:p>
      <w:pPr>
        <w:spacing w:line="360" w:lineRule="auto"/>
        <w:ind w:firstLine="566"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幼儿行为观察与指导》：观察、记录并分析幼儿在园一日生活中的行为特点，并进行有针对性指导。观察、记录并分析幼儿在游戏中的行为特点及游戏水平，给出适宜的支持策略。观察、记录并分析幼儿在集体教育活动 中的行为特点，给出适宜的支持策略。</w:t>
      </w:r>
    </w:p>
    <w:p>
      <w:pPr>
        <w:spacing w:line="360" w:lineRule="auto"/>
        <w:rPr>
          <w:rFonts w:hint="eastAsia" w:ascii="宋体" w:hAnsi="宋体" w:eastAsia="宋体" w:cs="宋体"/>
          <w:sz w:val="28"/>
          <w:szCs w:val="28"/>
          <w:lang w:eastAsia="zh-CN"/>
        </w:rPr>
      </w:pPr>
      <w:r>
        <w:rPr>
          <w:rFonts w:hint="eastAsia" w:ascii="宋体" w:hAnsi="宋体" w:eastAsia="宋体" w:cs="宋体"/>
          <w:sz w:val="28"/>
          <w:szCs w:val="28"/>
          <w:lang w:eastAsia="zh-CN"/>
        </w:rPr>
        <w:t>分析评价幼儿总体身心发展状况及水平</w:t>
      </w:r>
    </w:p>
    <w:p>
      <w:pPr>
        <w:spacing w:line="360" w:lineRule="auto"/>
        <w:ind w:firstLine="566"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幼儿园五大领域教学设计与实施</w:t>
      </w:r>
      <w:r>
        <w:rPr>
          <w:rFonts w:hint="eastAsia" w:ascii="宋体" w:hAnsi="宋体" w:eastAsia="宋体" w:cs="宋体"/>
          <w:sz w:val="28"/>
          <w:szCs w:val="28"/>
          <w:highlight w:val="none"/>
          <w:lang w:eastAsia="zh-CN"/>
        </w:rPr>
        <w:t>》：根据教育目标、幼儿兴趣需要、年龄特点等确定幼儿园健康、语言、社会、科学、艺术五大领域教育活动目标。选择适宜的五大领域教育活动内容、组 织形式与方法。依据幼儿发展特点，有效组织与实施幼 儿园各领域教育活动。对幼儿园五大领域教育活动的设计、组 织与实施进行科学评价。整合五大领域教育内容并实施教育活动</w:t>
      </w:r>
    </w:p>
    <w:p>
      <w:pPr>
        <w:adjustRightInd w:val="0"/>
        <w:snapToGrid w:val="0"/>
        <w:spacing w:line="360" w:lineRule="auto"/>
        <w:ind w:firstLine="566" w:firstLineChars="200"/>
        <w:outlineLvl w:val="1"/>
        <w:rPr>
          <w:rFonts w:hint="default" w:ascii="宋体" w:hAnsi="宋体" w:eastAsia="宋体" w:cs="宋体"/>
          <w:b/>
          <w:sz w:val="28"/>
          <w:szCs w:val="28"/>
          <w:lang w:val="en-US" w:eastAsia="zh-CN"/>
        </w:rPr>
      </w:pPr>
      <w:bookmarkStart w:id="24" w:name="_Toc87642135"/>
      <w:r>
        <w:rPr>
          <w:rFonts w:hint="eastAsia" w:ascii="宋体" w:hAnsi="宋体" w:eastAsia="宋体" w:cs="宋体"/>
          <w:b/>
          <w:sz w:val="28"/>
          <w:szCs w:val="28"/>
        </w:rPr>
        <w:t>（</w:t>
      </w:r>
      <w:r>
        <w:rPr>
          <w:rFonts w:hint="eastAsia" w:ascii="宋体" w:hAnsi="宋体" w:eastAsia="宋体" w:cs="宋体"/>
          <w:b/>
          <w:sz w:val="28"/>
          <w:szCs w:val="28"/>
          <w:lang w:val="en-US" w:eastAsia="zh-CN"/>
        </w:rPr>
        <w:t>五</w:t>
      </w:r>
      <w:r>
        <w:rPr>
          <w:rFonts w:hint="eastAsia" w:ascii="宋体" w:hAnsi="宋体" w:eastAsia="宋体" w:cs="宋体"/>
          <w:b/>
          <w:sz w:val="28"/>
          <w:szCs w:val="28"/>
        </w:rPr>
        <w:t>）专业课</w:t>
      </w:r>
      <w:bookmarkEnd w:id="24"/>
      <w:r>
        <w:rPr>
          <w:rFonts w:hint="eastAsia" w:ascii="宋体" w:hAnsi="宋体" w:eastAsia="宋体" w:cs="宋体"/>
          <w:b/>
          <w:sz w:val="28"/>
          <w:szCs w:val="28"/>
          <w:lang w:val="en-US" w:eastAsia="zh-CN"/>
        </w:rPr>
        <w:t>拓展课</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本专业结合学生应用实际开展专业</w:t>
      </w:r>
      <w:r>
        <w:rPr>
          <w:rFonts w:hint="eastAsia" w:ascii="宋体" w:hAnsi="宋体" w:eastAsia="宋体" w:cs="宋体"/>
          <w:sz w:val="28"/>
          <w:szCs w:val="28"/>
          <w:lang w:val="en-US" w:eastAsia="zh-CN"/>
        </w:rPr>
        <w:t>拓展</w:t>
      </w:r>
      <w:r>
        <w:rPr>
          <w:rFonts w:hint="eastAsia" w:ascii="宋体" w:hAnsi="宋体" w:eastAsia="宋体" w:cs="宋体"/>
          <w:sz w:val="28"/>
          <w:szCs w:val="28"/>
        </w:rPr>
        <w:t>课如下：</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1、学生幼儿园实际应用课程：《幼儿营养与幼儿园膳食管理》、《幼儿照护》。</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2、拓展学生技能课程：《幼儿园玩教具制作》、《学前儿童保育》、《奥尔夫音乐教法》、《蒙台梭利教学法》。</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3、提高学生素质课程：《PPT高手训练营》、《教师礼仪与人际沟通》、《合唱》《幼儿文学》、《书写》。</w:t>
      </w:r>
    </w:p>
    <w:p>
      <w:pPr>
        <w:spacing w:line="360" w:lineRule="auto"/>
        <w:outlineLvl w:val="0"/>
        <w:rPr>
          <w:rFonts w:ascii="黑体" w:hAnsi="黑体" w:eastAsia="黑体" w:cs="黑体"/>
          <w:b/>
          <w:bCs/>
          <w:sz w:val="28"/>
          <w:szCs w:val="28"/>
        </w:rPr>
      </w:pPr>
      <w:bookmarkStart w:id="25" w:name="_Toc87642136"/>
      <w:r>
        <w:rPr>
          <w:rFonts w:hint="eastAsia" w:ascii="黑体" w:hAnsi="黑体" w:eastAsia="黑体" w:cs="黑体"/>
          <w:b/>
          <w:bCs/>
          <w:sz w:val="28"/>
          <w:szCs w:val="28"/>
        </w:rPr>
        <w:t>七、教学进程总体安排</w:t>
      </w:r>
      <w:bookmarkEnd w:id="25"/>
    </w:p>
    <w:p>
      <w:pPr>
        <w:spacing w:line="360" w:lineRule="auto"/>
        <w:rPr>
          <w:rFonts w:ascii="宋体" w:hAnsi="宋体" w:eastAsia="宋体" w:cs="宋体"/>
          <w:sz w:val="28"/>
          <w:szCs w:val="28"/>
        </w:rPr>
      </w:pPr>
      <w:r>
        <w:rPr>
          <w:rFonts w:hint="eastAsia" w:ascii="黑体" w:hAnsi="黑体" w:eastAsia="黑体" w:cs="黑体"/>
          <w:b/>
          <w:bCs/>
          <w:sz w:val="28"/>
          <w:szCs w:val="28"/>
        </w:rPr>
        <w:t xml:space="preserve">   </w:t>
      </w:r>
      <w:r>
        <w:rPr>
          <w:rFonts w:hint="eastAsia" w:ascii="宋体" w:hAnsi="宋体" w:eastAsia="宋体" w:cs="宋体"/>
          <w:sz w:val="28"/>
          <w:szCs w:val="28"/>
        </w:rPr>
        <w:t>课程设置与教学活动安排（见附表1.2.3）</w:t>
      </w:r>
    </w:p>
    <w:p>
      <w:pPr>
        <w:adjustRightInd w:val="0"/>
        <w:snapToGrid w:val="0"/>
        <w:spacing w:line="360" w:lineRule="auto"/>
        <w:outlineLvl w:val="0"/>
        <w:rPr>
          <w:rFonts w:ascii="黑体" w:hAnsi="黑体" w:eastAsia="黑体" w:cs="黑体"/>
          <w:b/>
          <w:kern w:val="44"/>
          <w:sz w:val="28"/>
          <w:szCs w:val="28"/>
        </w:rPr>
      </w:pPr>
      <w:bookmarkStart w:id="26" w:name="_Toc20461"/>
      <w:bookmarkStart w:id="27" w:name="_Toc29512"/>
      <w:bookmarkStart w:id="28" w:name="_Toc87642137"/>
      <w:bookmarkStart w:id="29" w:name="_Toc724"/>
      <w:r>
        <w:rPr>
          <w:rFonts w:hint="eastAsia" w:ascii="黑体" w:hAnsi="黑体" w:eastAsia="黑体" w:cs="黑体"/>
          <w:b/>
          <w:kern w:val="44"/>
          <w:sz w:val="28"/>
          <w:szCs w:val="28"/>
        </w:rPr>
        <w:t>八、专业质量保障</w:t>
      </w:r>
      <w:bookmarkEnd w:id="26"/>
      <w:bookmarkEnd w:id="27"/>
      <w:bookmarkEnd w:id="28"/>
    </w:p>
    <w:p>
      <w:pPr>
        <w:adjustRightInd w:val="0"/>
        <w:snapToGrid w:val="0"/>
        <w:spacing w:line="360" w:lineRule="auto"/>
        <w:ind w:firstLine="566" w:firstLineChars="200"/>
        <w:outlineLvl w:val="1"/>
        <w:rPr>
          <w:rFonts w:ascii="宋体" w:hAnsi="宋体" w:eastAsia="宋体" w:cs="宋体"/>
          <w:b/>
          <w:sz w:val="28"/>
          <w:szCs w:val="28"/>
        </w:rPr>
      </w:pPr>
      <w:bookmarkStart w:id="30" w:name="_Toc87642138"/>
      <w:bookmarkStart w:id="31" w:name="_Toc30356"/>
      <w:bookmarkStart w:id="32" w:name="_Toc25532"/>
      <w:r>
        <w:rPr>
          <w:rFonts w:hint="eastAsia" w:ascii="宋体" w:hAnsi="宋体" w:eastAsia="宋体" w:cs="宋体"/>
          <w:b/>
          <w:sz w:val="28"/>
          <w:szCs w:val="28"/>
        </w:rPr>
        <w:t>（一）师资队伍</w:t>
      </w:r>
      <w:bookmarkEnd w:id="30"/>
      <w:bookmarkEnd w:id="31"/>
      <w:bookmarkEnd w:id="32"/>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教师要掌握信息现代化教学手段，具备使用或制作多媒体课件进行教学的能力；</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专任教师应具备对现行教材的筛选、组合能力；明确专业培养目标，能按照教学大纲的要求科学合理的安排教学内容；具备运用灵活多样的教学模式、教学方法进行教学的能力；具有较强的语言表达能力；</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教师要能够将学生的思想道德教育融入到教学全程；掌握教育发展大势，具备较高理论水平，能够对学生进行全方位职业规划发展引导。</w:t>
      </w:r>
    </w:p>
    <w:p>
      <w:pPr>
        <w:adjustRightInd w:val="0"/>
        <w:snapToGrid w:val="0"/>
        <w:spacing w:line="360" w:lineRule="auto"/>
        <w:ind w:firstLine="566" w:firstLineChars="200"/>
        <w:outlineLvl w:val="1"/>
        <w:rPr>
          <w:rFonts w:ascii="宋体" w:hAnsi="宋体" w:eastAsia="宋体" w:cs="宋体"/>
          <w:b/>
          <w:sz w:val="28"/>
          <w:szCs w:val="28"/>
        </w:rPr>
      </w:pPr>
      <w:bookmarkStart w:id="33" w:name="_Toc26810"/>
      <w:bookmarkStart w:id="34" w:name="_Toc12604"/>
      <w:bookmarkStart w:id="35" w:name="_Toc87642139"/>
      <w:r>
        <w:rPr>
          <w:rFonts w:hint="eastAsia" w:ascii="宋体" w:hAnsi="宋体" w:eastAsia="宋体" w:cs="宋体"/>
          <w:b/>
          <w:sz w:val="28"/>
          <w:szCs w:val="28"/>
        </w:rPr>
        <w:t>（二）教学设施</w:t>
      </w:r>
      <w:bookmarkEnd w:id="33"/>
      <w:bookmarkEnd w:id="34"/>
      <w:bookmarkEnd w:id="35"/>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努力完善校内外实习实训基地建设，为学生提供充足参与实践的教学设施，包括电钢琴教室、舞蹈教室等。同时搭建与幼儿园、早教中心、亲子园的实习、就业桥梁。</w:t>
      </w:r>
    </w:p>
    <w:p>
      <w:pPr>
        <w:adjustRightInd w:val="0"/>
        <w:snapToGrid w:val="0"/>
        <w:spacing w:line="360" w:lineRule="auto"/>
        <w:ind w:firstLine="566" w:firstLineChars="200"/>
        <w:outlineLvl w:val="1"/>
        <w:rPr>
          <w:rFonts w:ascii="宋体" w:hAnsi="宋体" w:eastAsia="宋体" w:cs="宋体"/>
          <w:b/>
          <w:sz w:val="28"/>
          <w:szCs w:val="28"/>
        </w:rPr>
      </w:pPr>
      <w:bookmarkStart w:id="36" w:name="_Toc2659"/>
      <w:bookmarkStart w:id="37" w:name="_Toc15264"/>
      <w:bookmarkStart w:id="38" w:name="_Toc87642140"/>
      <w:r>
        <w:rPr>
          <w:rFonts w:hint="eastAsia" w:ascii="宋体" w:hAnsi="宋体" w:eastAsia="宋体" w:cs="宋体"/>
          <w:b/>
          <w:sz w:val="28"/>
          <w:szCs w:val="28"/>
        </w:rPr>
        <w:t>（三）教学资源</w:t>
      </w:r>
      <w:bookmarkEnd w:id="36"/>
      <w:bookmarkEnd w:id="37"/>
      <w:bookmarkEnd w:id="38"/>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选用适合学生专业能力发展的教材，保障专业领域内必备的图书以及文献资料的数量与质量，加强数字化校园建设，为学生学习提供保证。</w:t>
      </w:r>
    </w:p>
    <w:p>
      <w:pPr>
        <w:spacing w:line="360" w:lineRule="auto"/>
        <w:ind w:firstLine="566" w:firstLineChars="200"/>
        <w:outlineLvl w:val="1"/>
        <w:rPr>
          <w:rFonts w:ascii="宋体" w:hAnsi="宋体" w:eastAsia="宋体" w:cs="宋体"/>
          <w:b/>
          <w:bCs/>
          <w:sz w:val="28"/>
          <w:szCs w:val="28"/>
        </w:rPr>
      </w:pPr>
      <w:bookmarkStart w:id="39" w:name="_Toc14443"/>
      <w:bookmarkStart w:id="40" w:name="_Toc23247"/>
      <w:bookmarkStart w:id="41" w:name="_Toc87642141"/>
      <w:r>
        <w:rPr>
          <w:rFonts w:hint="eastAsia" w:ascii="宋体" w:hAnsi="宋体" w:eastAsia="宋体" w:cs="宋体"/>
          <w:b/>
          <w:bCs/>
          <w:sz w:val="28"/>
          <w:szCs w:val="28"/>
        </w:rPr>
        <w:t>（四）教学方法</w:t>
      </w:r>
      <w:bookmarkEnd w:id="39"/>
      <w:bookmarkEnd w:id="40"/>
      <w:bookmarkEnd w:id="41"/>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教师应具备本专业教学所需的教学能力和专业素养，注重理论与实践相结合，学生对教师的工作总体比较满意。教师在完成教学任务的基础上从事一定科学研究，不断改进教学工作，提升教学质量。</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依据《</w:t>
      </w:r>
      <w:r>
        <w:rPr>
          <w:rFonts w:ascii="宋体" w:hAnsi="宋体" w:eastAsia="宋体" w:cs="宋体"/>
          <w:sz w:val="28"/>
          <w:szCs w:val="28"/>
        </w:rPr>
        <w:t>普通高等学校</w:t>
      </w:r>
      <w:r>
        <w:rPr>
          <w:rFonts w:hint="eastAsia" w:ascii="宋体" w:hAnsi="宋体" w:eastAsia="宋体" w:cs="宋体"/>
          <w:sz w:val="28"/>
          <w:szCs w:val="28"/>
        </w:rPr>
        <w:t>院（系）</w:t>
      </w:r>
      <w:r>
        <w:rPr>
          <w:rFonts w:ascii="宋体" w:hAnsi="宋体" w:eastAsia="宋体" w:cs="宋体"/>
          <w:sz w:val="28"/>
          <w:szCs w:val="28"/>
        </w:rPr>
        <w:t>“三全育人”综合改革试点建设标准(试行)</w:t>
      </w:r>
      <w:r>
        <w:rPr>
          <w:rFonts w:hint="eastAsia" w:ascii="宋体" w:hAnsi="宋体" w:eastAsia="宋体" w:cs="宋体"/>
          <w:sz w:val="28"/>
          <w:szCs w:val="28"/>
        </w:rPr>
        <w:t>》要求，本专业坚持以师生为中心，把握师生</w:t>
      </w:r>
      <w:r>
        <w:rPr>
          <w:rFonts w:ascii="宋体" w:hAnsi="宋体" w:eastAsia="宋体" w:cs="宋体"/>
          <w:sz w:val="28"/>
          <w:szCs w:val="28"/>
        </w:rPr>
        <w:t>思想特点和发展需求，优化内容供给、改进工作方法、创新工作载体，全面统筹教育教学各环节、充分发挥课程、科研、实践、文化、网络、心理、管理、服务、资助、组织等方面工作的育人功能，构建“三全育人”一体化工作体系。</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依据《高等学校课程思政建设指导纲要》要求，本专业在课程教学中加强师德师风教育，突出课堂育德、典型树德、规则立德，引导学生树立学为人师、行为世范的职业理想，培育爱国守法、规范从教的职业操守，培养学生传道情怀、授业底蕴、解惑能力，把对家国的爱、对教育的爱、对学生的爱融为一体，自觉以德立身、以德立学、以德施教，争做有理想信念、有道德情操、有扎实学识、有仁爱之心的“四有”好老师，坚定不移走中国特色社会主义教育发展道路。</w:t>
      </w:r>
    </w:p>
    <w:p>
      <w:pPr>
        <w:spacing w:line="360" w:lineRule="auto"/>
        <w:ind w:firstLine="566" w:firstLineChars="200"/>
        <w:rPr>
          <w:rFonts w:ascii="宋体" w:hAnsi="宋体" w:eastAsia="宋体" w:cs="宋体"/>
          <w:color w:val="auto"/>
          <w:sz w:val="28"/>
          <w:szCs w:val="28"/>
        </w:rPr>
      </w:pPr>
      <w:r>
        <w:rPr>
          <w:rFonts w:hint="eastAsia" w:ascii="宋体" w:hAnsi="宋体" w:eastAsia="宋体" w:cs="宋体"/>
          <w:color w:val="auto"/>
          <w:sz w:val="28"/>
          <w:szCs w:val="28"/>
        </w:rPr>
        <w:t>明确国家安全教育相关内容和要求，纳入课程思政教学体系。教师要强化国家安全意识，通过延伸拓展学科知识，引导学生主动运用所学知识分析国家安全问题着力强化学生国家安全意识，丰富国家安全知识；理解总体国家安全观，掌握国家安全基础知识，结合学科专业领域特点，在课程思政中有机融入国家安全教育内容，避免简单添加、生硬联系，注重教学实效。</w:t>
      </w:r>
    </w:p>
    <w:p>
      <w:pPr>
        <w:adjustRightInd w:val="0"/>
        <w:snapToGrid w:val="0"/>
        <w:spacing w:line="360" w:lineRule="auto"/>
        <w:ind w:firstLine="566" w:firstLineChars="200"/>
        <w:outlineLvl w:val="1"/>
        <w:rPr>
          <w:rFonts w:ascii="宋体" w:hAnsi="宋体" w:eastAsia="宋体" w:cs="宋体"/>
          <w:b/>
          <w:sz w:val="28"/>
          <w:szCs w:val="28"/>
        </w:rPr>
      </w:pPr>
      <w:bookmarkStart w:id="42" w:name="_Toc18044"/>
      <w:bookmarkStart w:id="43" w:name="_Toc14818"/>
      <w:bookmarkStart w:id="44" w:name="_Toc87642142"/>
      <w:r>
        <w:rPr>
          <w:rFonts w:hint="eastAsia" w:ascii="宋体" w:hAnsi="宋体" w:eastAsia="宋体" w:cs="宋体"/>
          <w:b/>
          <w:sz w:val="28"/>
          <w:szCs w:val="28"/>
        </w:rPr>
        <w:t>（五）学习评价</w:t>
      </w:r>
      <w:bookmarkEnd w:id="42"/>
      <w:bookmarkEnd w:id="43"/>
      <w:bookmarkEnd w:id="44"/>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采用多样化的评价方式，以学生为主体，关注学生的参与程度。重视学生对问题的思考方式和方法的讲授，了解学生学习的主动性与参与程度，以及对学习的信心和兴趣。同时注重对学生综合素质的评价。</w:t>
      </w:r>
    </w:p>
    <w:p>
      <w:pPr>
        <w:pStyle w:val="2"/>
        <w:rPr>
          <w:rFonts w:ascii="黑体" w:hAnsi="黑体" w:cs="黑体"/>
          <w:bCs w:val="0"/>
          <w:szCs w:val="28"/>
        </w:rPr>
      </w:pPr>
      <w:bookmarkStart w:id="45" w:name="_Toc87642143"/>
      <w:bookmarkStart w:id="46" w:name="_Toc25022"/>
      <w:bookmarkStart w:id="47" w:name="_Toc28680"/>
      <w:r>
        <w:rPr>
          <w:rFonts w:hint="eastAsia" w:ascii="黑体" w:hAnsi="黑体" w:cs="黑体"/>
          <w:bCs w:val="0"/>
          <w:szCs w:val="28"/>
        </w:rPr>
        <w:t>九、人才培养的实施保障</w:t>
      </w:r>
      <w:bookmarkEnd w:id="45"/>
      <w:bookmarkEnd w:id="46"/>
      <w:bookmarkEnd w:id="47"/>
    </w:p>
    <w:p>
      <w:pPr>
        <w:pStyle w:val="2"/>
        <w:rPr>
          <w:rFonts w:ascii="宋体" w:hAnsi="宋体" w:eastAsia="宋体" w:cs="宋体"/>
          <w:b w:val="0"/>
          <w:bCs w:val="0"/>
          <w:szCs w:val="28"/>
        </w:rPr>
      </w:pPr>
      <w:r>
        <w:rPr>
          <w:rFonts w:hint="eastAsia" w:ascii="宋体" w:hAnsi="宋体" w:eastAsia="宋体" w:cs="宋体"/>
          <w:b w:val="0"/>
          <w:bCs w:val="0"/>
          <w:szCs w:val="28"/>
        </w:rPr>
        <w:t xml:space="preserve">    </w:t>
      </w:r>
      <w:bookmarkStart w:id="48" w:name="_Toc10271"/>
      <w:bookmarkStart w:id="49" w:name="_Toc87642144"/>
      <w:bookmarkStart w:id="50" w:name="_Toc24786"/>
      <w:r>
        <w:rPr>
          <w:rFonts w:hint="eastAsia" w:ascii="宋体" w:hAnsi="宋体" w:eastAsia="宋体" w:cs="宋体"/>
          <w:bCs w:val="0"/>
          <w:kern w:val="2"/>
          <w:szCs w:val="28"/>
        </w:rPr>
        <w:t>（一）人才培养方案的实施</w:t>
      </w:r>
      <w:bookmarkEnd w:id="48"/>
      <w:bookmarkEnd w:id="49"/>
      <w:bookmarkEnd w:id="50"/>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在培养进程上，第1.2学期主要安排公共基础课程教学；第3.4学期重点培养学生职业核心能力，第5.6学期（岗位实习）重点培养学生职业综合能力。在整个培养进程中始终贯穿对学生的思想政治教育、文化教育、身心健康教育和职业发展与就业指导教育。</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教学内容上，除了正常的课程教学、实践外，前四个学期都安排有专项实训，突出课内，课外的实践育人，对学生进行系统的实践能力培养。</w:t>
      </w:r>
    </w:p>
    <w:p>
      <w:pPr>
        <w:adjustRightInd w:val="0"/>
        <w:snapToGrid w:val="0"/>
        <w:spacing w:line="360" w:lineRule="auto"/>
        <w:ind w:firstLine="566" w:firstLineChars="200"/>
        <w:outlineLvl w:val="1"/>
        <w:rPr>
          <w:rFonts w:ascii="宋体" w:hAnsi="宋体" w:eastAsia="宋体" w:cs="宋体"/>
          <w:b/>
          <w:sz w:val="28"/>
          <w:szCs w:val="28"/>
        </w:rPr>
      </w:pPr>
      <w:bookmarkStart w:id="51" w:name="_Toc87642145"/>
      <w:bookmarkStart w:id="52" w:name="_Toc17578"/>
      <w:bookmarkStart w:id="53" w:name="_Toc18715"/>
      <w:r>
        <w:rPr>
          <w:rFonts w:hint="eastAsia" w:ascii="宋体" w:hAnsi="宋体" w:eastAsia="宋体" w:cs="宋体"/>
          <w:b/>
          <w:sz w:val="28"/>
          <w:szCs w:val="28"/>
        </w:rPr>
        <w:t>（二）人才培养方案的条件保证</w:t>
      </w:r>
      <w:bookmarkEnd w:id="51"/>
      <w:bookmarkEnd w:id="52"/>
      <w:bookmarkEnd w:id="53"/>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学院教学质量管理与监控机构由学院院长、教学主管院长、教务处及督导室组成，主要负责整个学院的教学质量管理、监督及评估工作。教学系教学质量管理与监控机构由系主任、教学主管主任、专业带头人组成，主要负责本系内部的教学管理、监督及评估工作。这两级教学质量管理与监控机构能够有效地对学院的教学过程进行管理。实施人才培养实施问责制，按照人才培养任务的要求，层层落实责任，确保人才培养质量。</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校、园合作理事会和专业建设委员会作为学院、专业与企业进行沟通的平台，可以不断得到行业企业专家的支持帮助，确保专业人才培养模式能够得到不断优化，不断推进教学内容和教学模式的改革，使所培养的毕业生更符合企业和社会的需要。</w:t>
      </w:r>
    </w:p>
    <w:p>
      <w:pPr>
        <w:adjustRightInd w:val="0"/>
        <w:snapToGrid w:val="0"/>
        <w:spacing w:line="360" w:lineRule="auto"/>
        <w:ind w:firstLine="566" w:firstLineChars="200"/>
        <w:outlineLvl w:val="1"/>
        <w:rPr>
          <w:rFonts w:ascii="宋体" w:hAnsi="宋体" w:eastAsia="宋体" w:cs="宋体"/>
          <w:b/>
          <w:sz w:val="28"/>
          <w:szCs w:val="28"/>
        </w:rPr>
      </w:pPr>
      <w:bookmarkStart w:id="54" w:name="_Toc87642146"/>
      <w:bookmarkStart w:id="55" w:name="_Toc3873"/>
      <w:bookmarkStart w:id="56" w:name="_Toc28742"/>
      <w:r>
        <w:rPr>
          <w:rFonts w:hint="eastAsia" w:ascii="宋体" w:hAnsi="宋体" w:eastAsia="宋体" w:cs="宋体"/>
          <w:b/>
          <w:sz w:val="28"/>
          <w:szCs w:val="28"/>
        </w:rPr>
        <w:t>（三）人才培养的质量保证</w:t>
      </w:r>
      <w:bookmarkEnd w:id="54"/>
      <w:bookmarkEnd w:id="55"/>
      <w:bookmarkEnd w:id="56"/>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健全教学计划管理、教学组织管理、教学运行管理等制度。本着校内评价和幼儿园评价相结合的原则，建立学院、幼儿园、学生三方的教学质量评价和监控机制，形成以学校为核心，社会参与的教学质量保障体系。校内实行院、教研室两级督导和院、教研室、学生三级监控制度，采取质量保障和奖励机制相结合的质量管理措施。校外依据社会调查和毕业生跟踪调查结果、企业评估结果进行客观的质量评价。建立校内、校外质量评价互通机制，及时进行整改，确保教学工作高质量运行。 </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质量保障包括教学督导、同行评教、学生评教、教师评学等信息反馈手段，奖励机制包括系部教学工作评估、教研室工作评价、优质课程评比、教学成果评比、教师技能竞赛、学生技能竞赛等要素。</w:t>
      </w:r>
      <w:bookmarkStart w:id="57" w:name="_Toc29148"/>
      <w:bookmarkEnd w:id="57"/>
    </w:p>
    <w:p>
      <w:pPr>
        <w:adjustRightInd w:val="0"/>
        <w:snapToGrid w:val="0"/>
        <w:spacing w:line="360" w:lineRule="auto"/>
        <w:ind w:firstLine="566" w:firstLineChars="200"/>
        <w:outlineLvl w:val="1"/>
        <w:rPr>
          <w:rFonts w:ascii="宋体" w:hAnsi="宋体" w:eastAsia="宋体" w:cs="宋体"/>
          <w:b/>
          <w:sz w:val="28"/>
          <w:szCs w:val="28"/>
        </w:rPr>
      </w:pPr>
      <w:bookmarkStart w:id="58" w:name="_Toc87642147"/>
      <w:bookmarkStart w:id="59" w:name="_Toc29214"/>
      <w:bookmarkStart w:id="60" w:name="_Toc15013"/>
      <w:r>
        <w:rPr>
          <w:rFonts w:hint="eastAsia" w:ascii="宋体" w:hAnsi="宋体" w:eastAsia="宋体" w:cs="宋体"/>
          <w:b/>
          <w:sz w:val="28"/>
          <w:szCs w:val="28"/>
        </w:rPr>
        <w:t>（四）书证融通</w:t>
      </w:r>
      <w:bookmarkEnd w:id="58"/>
      <w:bookmarkEnd w:id="59"/>
      <w:bookmarkEnd w:id="60"/>
    </w:p>
    <w:p>
      <w:pPr>
        <w:ind w:firstLine="366" w:firstLineChars="200"/>
        <w:rPr>
          <w:rFonts w:ascii="宋体" w:hAnsi="宋体" w:eastAsia="宋体" w:cs="宋体"/>
          <w:sz w:val="28"/>
          <w:szCs w:val="28"/>
        </w:rPr>
      </w:pPr>
      <w:r>
        <w:rPr>
          <w:rFonts w:ascii="宋体" w:hAnsi="宋体" w:eastAsia="宋体" w:cs="宋体"/>
          <w:sz w:val="18"/>
          <w:szCs w:val="18"/>
          <w:shd w:val="clear" w:color="auto" w:fill="FFFFFF"/>
        </w:rPr>
        <w:t> </w:t>
      </w:r>
      <w:r>
        <w:rPr>
          <w:rFonts w:hint="eastAsia" w:ascii="宋体" w:hAnsi="宋体" w:eastAsia="宋体" w:cs="宋体"/>
          <w:sz w:val="18"/>
          <w:szCs w:val="18"/>
          <w:shd w:val="clear" w:color="auto" w:fill="FFFFFF"/>
        </w:rPr>
        <w:t xml:space="preserve">   </w:t>
      </w:r>
      <w:r>
        <w:rPr>
          <w:rFonts w:hint="eastAsia" w:ascii="宋体" w:hAnsi="宋体" w:eastAsia="宋体" w:cs="宋体"/>
          <w:sz w:val="28"/>
          <w:szCs w:val="28"/>
        </w:rPr>
        <w:t>“1+X”书证衔接和融通来促进学前教育专业建设和学生专业能力的发展，学生在取得毕业证书的获得相应的技能证书，包括普通话等级证书，保育员证，育婴员证，计算机等级证，注重对学生的职业精神与专业能力培养，增强学生对职业的认同感，弘扬团结协作、无私奉献的精神，提高学生的职业素养和道德修养，营造阳光幼教氛围。学前教育专业在基础的专业课教学过程中，把课堂教学和职业技能教学有效融合从而培育学生良好的职业精神，使职业精神渗透到学生学习的方方面面。</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 xml:space="preserve"> 学前教育专业组织成立了1+X幼儿照护职业等级证书试点工作小组，全力申报考核站点并于2020年11月1日被国家教育部确认为内蒙古自治区第三批“1+X”证书制度试点院校。幼儿照护职业技能证书的获得扩宽了学生的就业领域和渠道，也是培养高素质复合型人才的抓手。要建立健全考核评价制度，组建专家队伍，制定工作细则，建立安全保密制度，开发建设题库等考核的内容要与国家专业教学标准有机衔接，应反映典型岗位(群)所需要的职业素养、专业知识和职业技能，体现社会、市场、企业、学生个人的发展需求。考核方式要灵活多样，在强化对典型工作任务能力的考核前提下，要体现书证融通、尽量减轻学生的培训和考核负担，可以把相关专业课程的考核与职业技术技能等级考核统筹安排。一次考核书证同认。这会增强学生的获得感，促进学生终身学习。</w:t>
      </w:r>
    </w:p>
    <w:p>
      <w:pPr>
        <w:spacing w:line="360" w:lineRule="auto"/>
        <w:ind w:firstLine="566" w:firstLineChars="200"/>
        <w:rPr>
          <w:rFonts w:ascii="宋体" w:hAnsi="宋体" w:eastAsia="宋体" w:cs="宋体"/>
          <w:b/>
          <w:sz w:val="28"/>
          <w:szCs w:val="28"/>
        </w:rPr>
      </w:pPr>
      <w:bookmarkStart w:id="61" w:name="_Toc21740"/>
      <w:bookmarkStart w:id="62" w:name="_Toc16676"/>
      <w:r>
        <w:rPr>
          <w:rFonts w:hint="eastAsia" w:ascii="宋体" w:hAnsi="宋体" w:eastAsia="宋体" w:cs="宋体"/>
          <w:b/>
          <w:sz w:val="28"/>
          <w:szCs w:val="28"/>
        </w:rPr>
        <w:t>（五）职业技能加学分细则</w:t>
      </w:r>
      <w:bookmarkEnd w:id="61"/>
      <w:bookmarkEnd w:id="62"/>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职业技能等级标准与各个层次职业教育的专业教学标准相互对接。这种对接是由学历证书与职业技能等级证书的关系决定的。学前教育专业学生应获取相应的普通话等级证书、计算机水平等级考试证书，专业证书包括：幼儿教师资格证书、保育员证不同等级的职业技能标准应与不同教育阶段学历职业教育的培养目标和专业核心课程的学习目标相对应。</w:t>
      </w:r>
    </w:p>
    <w:p>
      <w:pPr>
        <w:rPr>
          <w:rFonts w:ascii="宋体" w:hAnsi="宋体" w:eastAsia="宋体" w:cs="宋体"/>
          <w:b/>
          <w:sz w:val="28"/>
          <w:szCs w:val="28"/>
        </w:rPr>
      </w:pPr>
    </w:p>
    <w:tbl>
      <w:tblPr>
        <w:tblStyle w:val="11"/>
        <w:tblpPr w:leftFromText="180" w:rightFromText="180" w:vertAnchor="text" w:horzAnchor="page" w:tblpX="1950" w:tblpY="739"/>
        <w:tblOverlap w:val="never"/>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751"/>
        <w:gridCol w:w="1751"/>
        <w:gridCol w:w="1752"/>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1751"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3503" w:type="dxa"/>
            <w:gridSpan w:val="2"/>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要求</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课外学分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社会实践活动</w:t>
            </w:r>
          </w:p>
        </w:tc>
        <w:tc>
          <w:tcPr>
            <w:tcW w:w="3503" w:type="dxa"/>
            <w:gridSpan w:val="2"/>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个人被评为院级或院级以上社会实践活动积极分子，集体被评为院级或院级以上优秀社会实践队</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个人1～2</w:t>
            </w:r>
          </w:p>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集体每人2～3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3503" w:type="dxa"/>
            <w:gridSpan w:val="2"/>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参加各类社会工作并获表彰</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计算机等级考试及职业资格证书</w:t>
            </w:r>
          </w:p>
        </w:tc>
        <w:tc>
          <w:tcPr>
            <w:tcW w:w="3503" w:type="dxa"/>
            <w:gridSpan w:val="2"/>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职业资格证书（保育员）</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3503" w:type="dxa"/>
            <w:gridSpan w:val="2"/>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全国计算机等级考试通过</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技能竞赛</w:t>
            </w:r>
          </w:p>
        </w:tc>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院级</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二等奖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自治区级</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二等奖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restart"/>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国家级</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二等奖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1" w:type="dxa"/>
            <w:vMerge w:val="continue"/>
            <w:vAlign w:val="center"/>
          </w:tcPr>
          <w:p>
            <w:pPr>
              <w:adjustRightInd w:val="0"/>
              <w:snapToGrid w:val="0"/>
              <w:spacing w:line="460" w:lineRule="exact"/>
              <w:jc w:val="center"/>
              <w:rPr>
                <w:rFonts w:asciiTheme="minorEastAsia" w:hAnsiTheme="minorEastAsia" w:eastAsiaTheme="minorEastAsia" w:cstheme="minorEastAsia"/>
                <w:sz w:val="18"/>
                <w:szCs w:val="18"/>
              </w:rPr>
            </w:pP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三等奖</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51"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1751"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创新、创作</w:t>
            </w:r>
          </w:p>
        </w:tc>
        <w:tc>
          <w:tcPr>
            <w:tcW w:w="1751"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按情况</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每项</w:t>
            </w:r>
          </w:p>
        </w:tc>
        <w:tc>
          <w:tcPr>
            <w:tcW w:w="1752" w:type="dxa"/>
            <w:vAlign w:val="center"/>
          </w:tcPr>
          <w:p>
            <w:pPr>
              <w:adjustRightInd w:val="0"/>
              <w:snapToGrid w:val="0"/>
              <w:spacing w:line="4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1～10</w:t>
            </w:r>
          </w:p>
        </w:tc>
      </w:tr>
    </w:tbl>
    <w:p>
      <w:pPr>
        <w:spacing w:line="360" w:lineRule="auto"/>
        <w:rPr>
          <w:rFonts w:ascii="宋体" w:hAnsi="宋体" w:eastAsia="宋体" w:cs="宋体"/>
          <w:sz w:val="28"/>
          <w:szCs w:val="28"/>
        </w:rPr>
      </w:pPr>
    </w:p>
    <w:p>
      <w:pPr>
        <w:outlineLvl w:val="0"/>
        <w:rPr>
          <w:rFonts w:ascii="黑体" w:hAnsi="黑体" w:eastAsia="黑体" w:cs="黑体"/>
          <w:b/>
          <w:kern w:val="44"/>
          <w:sz w:val="28"/>
          <w:szCs w:val="28"/>
        </w:rPr>
      </w:pPr>
      <w:bookmarkStart w:id="63" w:name="_Toc87642148"/>
      <w:r>
        <w:rPr>
          <w:rFonts w:hint="eastAsia" w:ascii="黑体" w:hAnsi="黑体" w:eastAsia="黑体" w:cs="黑体"/>
          <w:b/>
          <w:kern w:val="44"/>
          <w:sz w:val="28"/>
          <w:szCs w:val="28"/>
        </w:rPr>
        <w:t>十、毕业条件</w:t>
      </w:r>
      <w:bookmarkEnd w:id="29"/>
      <w:bookmarkEnd w:id="63"/>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（一）按规定完成本专业教学计划规定的全部教学环节学习，各门课程成绩合格。</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（二）学分达到1</w:t>
      </w:r>
      <w:r>
        <w:rPr>
          <w:rFonts w:hint="eastAsia" w:ascii="宋体" w:hAnsi="宋体" w:eastAsia="宋体" w:cs="宋体"/>
          <w:sz w:val="28"/>
          <w:szCs w:val="28"/>
          <w:lang w:val="en-US" w:eastAsia="zh-CN"/>
        </w:rPr>
        <w:t>81</w:t>
      </w:r>
      <w:r>
        <w:rPr>
          <w:rFonts w:hint="eastAsia" w:ascii="宋体" w:hAnsi="宋体" w:eastAsia="宋体" w:cs="宋体"/>
          <w:sz w:val="28"/>
          <w:szCs w:val="28"/>
        </w:rPr>
        <w:t>标准，上交一份完整的教学设计并进行说课。</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（三）思想品德考核合格。</w:t>
      </w:r>
    </w:p>
    <w:p>
      <w:pPr>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（四）实习要求：参加专业岗位实习全过程，经考核合格。</w:t>
      </w:r>
    </w:p>
    <w:p>
      <w:pPr>
        <w:adjustRightInd w:val="0"/>
        <w:snapToGrid w:val="0"/>
        <w:spacing w:line="360" w:lineRule="auto"/>
        <w:ind w:firstLine="566" w:firstLineChars="200"/>
        <w:outlineLvl w:val="0"/>
        <w:rPr>
          <w:rFonts w:ascii="宋体" w:hAnsi="宋体" w:eastAsia="宋体" w:cs="宋体"/>
          <w:sz w:val="28"/>
          <w:szCs w:val="28"/>
        </w:rPr>
      </w:pPr>
      <w:bookmarkStart w:id="64" w:name="_Toc87642149"/>
      <w:r>
        <w:rPr>
          <w:rFonts w:hint="eastAsia" w:ascii="宋体" w:hAnsi="宋体" w:eastAsia="宋体" w:cs="宋体"/>
          <w:sz w:val="28"/>
          <w:szCs w:val="28"/>
        </w:rPr>
        <w:t>（五）国家或行业职业资格证书：</w:t>
      </w:r>
      <w:r>
        <w:rPr>
          <w:rFonts w:hint="eastAsia" w:ascii="宋体" w:hAnsi="宋体" w:eastAsia="宋体" w:cs="宋体"/>
          <w:sz w:val="28"/>
          <w:szCs w:val="28"/>
          <w:lang w:val="en-US" w:eastAsia="zh-CN"/>
        </w:rPr>
        <w:t>通过</w:t>
      </w:r>
      <w:r>
        <w:rPr>
          <w:rFonts w:hint="eastAsia" w:ascii="宋体" w:hAnsi="宋体" w:eastAsia="宋体" w:cs="宋体"/>
          <w:sz w:val="28"/>
          <w:szCs w:val="28"/>
        </w:rPr>
        <w:t>省级普通话水平等级测试达到二级乙等及以上</w:t>
      </w:r>
      <w:r>
        <w:rPr>
          <w:rFonts w:hint="eastAsia" w:ascii="宋体" w:hAnsi="宋体" w:eastAsia="宋体" w:cs="宋体"/>
          <w:sz w:val="28"/>
          <w:szCs w:val="28"/>
          <w:lang w:eastAsia="zh-CN"/>
        </w:rPr>
        <w:t>。</w:t>
      </w:r>
      <w:r>
        <w:rPr>
          <w:rFonts w:hint="eastAsia" w:ascii="宋体" w:hAnsi="宋体" w:eastAsia="宋体" w:cs="宋体"/>
          <w:sz w:val="28"/>
          <w:szCs w:val="28"/>
        </w:rPr>
        <w:t>考取两项及以上资格等级证书。包括：幼儿教师资格证书、普通英语等级测试过级考试证书、计算机应用能力等级证书、保育</w:t>
      </w:r>
      <w:r>
        <w:rPr>
          <w:rFonts w:hint="eastAsia" w:ascii="宋体" w:hAnsi="宋体" w:eastAsia="宋体" w:cs="宋体"/>
          <w:sz w:val="28"/>
          <w:szCs w:val="28"/>
          <w:lang w:val="en-US" w:eastAsia="zh-CN"/>
        </w:rPr>
        <w:t>师</w:t>
      </w:r>
      <w:r>
        <w:rPr>
          <w:rFonts w:hint="eastAsia" w:ascii="宋体" w:hAnsi="宋体" w:eastAsia="宋体" w:cs="宋体"/>
          <w:sz w:val="28"/>
          <w:szCs w:val="28"/>
        </w:rPr>
        <w:t>证书、。也可自愿考取育婴</w:t>
      </w:r>
      <w:r>
        <w:rPr>
          <w:rFonts w:hint="eastAsia" w:ascii="宋体" w:hAnsi="宋体" w:eastAsia="宋体" w:cs="宋体"/>
          <w:sz w:val="28"/>
          <w:szCs w:val="28"/>
          <w:lang w:val="en-US" w:eastAsia="zh-CN"/>
        </w:rPr>
        <w:t>师</w:t>
      </w:r>
      <w:r>
        <w:rPr>
          <w:rFonts w:hint="eastAsia" w:ascii="宋体" w:hAnsi="宋体" w:eastAsia="宋体" w:cs="宋体"/>
          <w:sz w:val="28"/>
          <w:szCs w:val="28"/>
        </w:rPr>
        <w:t>，幼儿照护职业等级证书等资格证。</w:t>
      </w:r>
    </w:p>
    <w:p>
      <w:pPr>
        <w:adjustRightInd w:val="0"/>
        <w:snapToGrid w:val="0"/>
        <w:spacing w:line="360" w:lineRule="auto"/>
        <w:outlineLvl w:val="0"/>
        <w:rPr>
          <w:rFonts w:ascii="黑体" w:hAnsi="黑体" w:eastAsia="黑体" w:cs="黑体"/>
          <w:b/>
          <w:kern w:val="44"/>
          <w:sz w:val="28"/>
          <w:szCs w:val="28"/>
        </w:rPr>
      </w:pPr>
      <w:r>
        <w:rPr>
          <w:rFonts w:hint="eastAsia" w:ascii="黑体" w:hAnsi="黑体" w:eastAsia="黑体" w:cs="黑体"/>
          <w:b/>
          <w:kern w:val="44"/>
          <w:sz w:val="28"/>
          <w:szCs w:val="28"/>
        </w:rPr>
        <w:t>十一、附录</w:t>
      </w:r>
      <w:bookmarkEnd w:id="64"/>
    </w:p>
    <w:p>
      <w:pPr>
        <w:adjustRightInd w:val="0"/>
        <w:snapToGrid w:val="0"/>
        <w:spacing w:line="360" w:lineRule="auto"/>
        <w:rPr>
          <w:rFonts w:ascii="黑体" w:hAnsi="黑体" w:eastAsia="黑体" w:cs="黑体"/>
          <w:b/>
          <w:kern w:val="44"/>
          <w:sz w:val="28"/>
          <w:szCs w:val="28"/>
        </w:rPr>
      </w:pPr>
    </w:p>
    <w:p>
      <w:pPr>
        <w:adjustRightInd w:val="0"/>
        <w:snapToGrid w:val="0"/>
        <w:spacing w:line="360" w:lineRule="auto"/>
        <w:rPr>
          <w:rFonts w:ascii="黑体" w:hAnsi="黑体" w:eastAsia="黑体" w:cs="黑体"/>
          <w:b/>
          <w:kern w:val="44"/>
          <w:sz w:val="28"/>
          <w:szCs w:val="28"/>
        </w:rPr>
      </w:pPr>
      <w:r>
        <w:rPr>
          <w:rFonts w:hint="eastAsia" w:ascii="黑体" w:hAnsi="黑体" w:eastAsia="黑体" w:cs="黑体"/>
          <w:b/>
          <w:kern w:val="44"/>
          <w:sz w:val="28"/>
          <w:szCs w:val="28"/>
        </w:rPr>
        <w:t>附录1：专业社会背景和人才需求调研报告</w:t>
      </w:r>
    </w:p>
    <w:p>
      <w:pPr>
        <w:adjustRightInd w:val="0"/>
        <w:snapToGrid w:val="0"/>
        <w:spacing w:line="360" w:lineRule="auto"/>
        <w:ind w:firstLine="566" w:firstLineChars="200"/>
        <w:outlineLvl w:val="1"/>
        <w:rPr>
          <w:rFonts w:ascii="宋体" w:hAnsi="宋体" w:eastAsia="宋体" w:cs="宋体"/>
          <w:b/>
          <w:sz w:val="28"/>
          <w:szCs w:val="28"/>
        </w:rPr>
      </w:pPr>
      <w:bookmarkStart w:id="65" w:name="_Toc87642150"/>
      <w:r>
        <w:rPr>
          <w:rFonts w:hint="eastAsia" w:ascii="宋体" w:hAnsi="宋体" w:eastAsia="宋体" w:cs="宋体"/>
          <w:b/>
          <w:sz w:val="28"/>
          <w:szCs w:val="28"/>
        </w:rPr>
        <w:t>（一）调研目的</w:t>
      </w:r>
      <w:bookmarkEnd w:id="65"/>
    </w:p>
    <w:p>
      <w:pPr>
        <w:spacing w:line="360" w:lineRule="auto"/>
        <w:ind w:firstLine="566" w:firstLineChars="200"/>
        <w:jc w:val="left"/>
        <w:rPr>
          <w:rFonts w:ascii="宋体" w:hAnsi="宋体" w:eastAsia="宋体" w:cs="宋体"/>
          <w:sz w:val="28"/>
          <w:szCs w:val="28"/>
        </w:rPr>
      </w:pPr>
      <w:r>
        <w:rPr>
          <w:rFonts w:hint="eastAsia" w:ascii="宋体" w:hAnsi="宋体" w:eastAsia="宋体" w:cs="宋体"/>
          <w:b/>
          <w:sz w:val="28"/>
          <w:szCs w:val="28"/>
        </w:rPr>
        <w:t xml:space="preserve">  </w:t>
      </w:r>
      <w:r>
        <w:rPr>
          <w:rFonts w:hint="eastAsia" w:ascii="宋体" w:hAnsi="宋体" w:eastAsia="宋体" w:cs="宋体"/>
          <w:sz w:val="28"/>
          <w:szCs w:val="28"/>
        </w:rPr>
        <w:t>掌握呼伦贝尔幼教市场对学前教育专业人才的需求状况，明确专业设置的职业面向、就业岗位和培养规格，掌握用人单位对专业人才的知识、能力和素质要求，制定和完善学前教育业人才培养方案。调整课程设置，优化课程体系，实现专业设置与职业岗位、课程教材内容与职业标准、教学过程与文化市场深度对接。切实提高人才培养质量。</w:t>
      </w:r>
    </w:p>
    <w:p>
      <w:pPr>
        <w:adjustRightInd w:val="0"/>
        <w:snapToGrid w:val="0"/>
        <w:spacing w:line="360" w:lineRule="auto"/>
        <w:ind w:firstLine="566" w:firstLineChars="200"/>
        <w:outlineLvl w:val="1"/>
        <w:rPr>
          <w:rFonts w:ascii="宋体" w:hAnsi="宋体" w:eastAsia="宋体" w:cs="宋体"/>
          <w:b/>
          <w:sz w:val="28"/>
          <w:szCs w:val="28"/>
        </w:rPr>
      </w:pPr>
      <w:bookmarkStart w:id="66" w:name="_Toc87642151"/>
      <w:r>
        <w:rPr>
          <w:rFonts w:hint="eastAsia" w:ascii="宋体" w:hAnsi="宋体" w:eastAsia="宋体" w:cs="宋体"/>
          <w:b/>
          <w:sz w:val="28"/>
          <w:szCs w:val="28"/>
        </w:rPr>
        <w:t>（二）基本情况</w:t>
      </w:r>
      <w:bookmarkEnd w:id="66"/>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从我国目前的政策导向来看，《国家中长期教育改革和发展规划纲要(2010-2020年)》中提到：我国幼儿在园人数2015年要达到3400万人，2020年要达到4000万人；到2020年，学前一年毛入学率达到90%，学前两年毛入学率达到80%，学前一年毛入学率达到70%；并且明确提出到2020年，普及学前一年教育，基本普及学前两年教育，有条件的地区普及学前三年教育。同时根据《国务院关于当前发展学前教育的若干意见》（国发〔2010〕41号）和《内蒙古自治区人民政府批转自治区教育厅关于全面发展学前教育实施意见的通知》（内政发〔2011〕87号）相关文件要求，建立政府主导、社会参与、公办民办并举的办园体制。大力发展公办幼儿园，积极扶持民办幼儿园势在必行。</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近几年来，随着人们生活条件的提高和精神文化的丰富，人们对学前教育越来越重视。据调查，目前呼伦贝尔全市共有公办幼儿园62所，其中幼师2190人，幼儿27457人，师生比高达1:35；全市民办幼儿园265所，其中幼师2150人，幼儿18215人，师生比例为1:8.5。由此可见每年幼师缺口人数众多，且幼儿教育现状与发展规划目标之间存在着较大的差距，要缩短这个差距就需要大量高素质的幼儿教师，而这个差距就为学前教育专业人才提供了一个巨大的就业市场和人生舞台。</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社会对幼儿教师需求量增加的同时，对幼儿教师的素质要求也相应提高。经过调研了解到，各幼儿园渴求“热爱幼儿教育、有一定教科研能力、幼儿教育理念新、教学基本功扎实、技能全面、心态好、愿意长期在本园工作”的学前教育专业毕业生。而高职学前教育专业毕业生职业意识强、技能高、基础理论知识较系统、知识面较宽等特点，正符合社会对幼儿教师的要求。总之，社会对具有专科学历的高素质幼儿教师需求旺盛，幼儿教育专业市场前景广阔。</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幼儿教师是一种专业化的职业，它是一种“要求教师具备经过严格而持续不断地研究才能获得并维持专业知识和专门技能的公共业务”（联合国教科文组织《关于教师地位的建议》）。在我国，这样的专业知识和专门技能的学习是通过职前的培养来进行的。目前，高校学前教育专业在幼教师资培养方面发挥着主体作用。</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呼伦贝尔职业技术学院学前教育专业正是适应呼伦贝尔幼儿教育和素质教育结构调整对高素质专业人才的需要，推进专业内涵建设、教学质量提升和社会服务能力构建，因而具有长远而广阔的适应社会需求的发展空间。加强学前教育专业建设具有非常深远的意义。</w:t>
      </w:r>
    </w:p>
    <w:p>
      <w:pPr>
        <w:adjustRightInd w:val="0"/>
        <w:snapToGrid w:val="0"/>
        <w:spacing w:line="360" w:lineRule="auto"/>
        <w:ind w:firstLine="566" w:firstLineChars="200"/>
        <w:outlineLvl w:val="1"/>
        <w:rPr>
          <w:rFonts w:ascii="宋体" w:hAnsi="宋体" w:eastAsia="宋体" w:cs="宋体"/>
          <w:b/>
          <w:sz w:val="28"/>
          <w:szCs w:val="28"/>
        </w:rPr>
      </w:pPr>
      <w:bookmarkStart w:id="67" w:name="_Toc87642152"/>
      <w:r>
        <w:rPr>
          <w:rFonts w:hint="eastAsia" w:ascii="宋体" w:hAnsi="宋体" w:eastAsia="宋体" w:cs="宋体"/>
          <w:b/>
          <w:sz w:val="28"/>
          <w:szCs w:val="28"/>
        </w:rPr>
        <w:t>（三）主要内容</w:t>
      </w:r>
      <w:bookmarkEnd w:id="67"/>
    </w:p>
    <w:p>
      <w:pPr>
        <w:adjustRightInd w:val="0"/>
        <w:snapToGrid w:val="0"/>
        <w:spacing w:line="360" w:lineRule="auto"/>
        <w:ind w:firstLine="566" w:firstLineChars="200"/>
        <w:rPr>
          <w:rFonts w:ascii="宋体" w:hAnsi="宋体" w:eastAsia="宋体" w:cs="宋体"/>
          <w:sz w:val="28"/>
          <w:szCs w:val="28"/>
        </w:rPr>
      </w:pPr>
      <w:r>
        <w:rPr>
          <w:rFonts w:hint="eastAsia" w:ascii="宋体" w:hAnsi="宋体" w:eastAsia="宋体" w:cs="宋体"/>
          <w:sz w:val="28"/>
          <w:szCs w:val="28"/>
        </w:rPr>
        <w:t>1.典型岗位设置情况分析</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学前教育是国民教育体系的重要组成部分，是主要的社会公益事业。学前教育是教育的基础阶段，随着社会对早期教育的重视，这个阶段的分工越来越细，要求也越来越高。社会上出现了很多大中型幼儿园，早教机构或相关幼教行业。目前呼伦贝尔中等规模的幼儿园中，公立幼儿园所占比例很小,大部分为私立园，这样就形成了公立园保持规模稳步发展，私立园急需扩大规模快速成长，各种早教机构学前教育培训机构形成异彩纷呈的行业发展格局，为学前教育专业的发展提供了广阔的空间。</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此外，目前的幼儿园为了适应市场的需求力争办出自己的特色，现在在幼儿园中常见的特色课程有：蒙台梭利教育、感觉统合训练、奥尔夫音乐教育、亲子教育、思维训练、潜能开发等等。这些课程的开设深受家长的欢迎，使幼儿园更有竞争力，更好地生存和发展。因此能够驾驭这些课程的优质特色老师是幼儿园最急需的人才。</w:t>
      </w:r>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 xml:space="preserve">幼教事业具有广阔的市场潜力,与之配套的幼儿教师和管理人员需求激增，使得幼教师范毕业生供不应求。尽管近年来各地一些院校增设了学前教育专业，但仍不能满足整个社会的需求。 </w:t>
      </w:r>
    </w:p>
    <w:p>
      <w:pPr>
        <w:rPr>
          <w:rFonts w:ascii="宋体" w:hAnsi="宋体" w:eastAsia="宋体" w:cs="宋体"/>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2.典型岗位能力要求分析</w:t>
      </w:r>
    </w:p>
    <w:p>
      <w:pPr>
        <w:rPr>
          <w:rFonts w:ascii="宋体" w:hAnsi="宋体" w:eastAsia="宋体" w:cs="宋体"/>
          <w:sz w:val="28"/>
          <w:szCs w:val="28"/>
        </w:rPr>
      </w:pPr>
      <w:r>
        <w:rPr>
          <w:rFonts w:hint="eastAsia" w:ascii="宋体" w:hAnsi="宋体" w:eastAsia="宋体" w:cs="宋体"/>
          <w:sz w:val="28"/>
          <w:szCs w:val="28"/>
        </w:rPr>
        <w:t xml:space="preserve">    目前，在学前教育阶段，一方面家长对孩子的培养意识超前化，另一方面幼儿园规模和师资力量稍显不足；学前教育领域的师资现状与发展需求之间存在着较大的差距。这个差距需要大量的观念新、素质高、技能强、有积累的幼儿教师来弥补。这就为学前教育专业人才培养提供了巨大的空间。</w:t>
      </w:r>
    </w:p>
    <w:p>
      <w:pPr>
        <w:ind w:firstLine="566" w:firstLineChars="200"/>
        <w:rPr>
          <w:rFonts w:ascii="宋体" w:hAnsi="宋体" w:eastAsia="宋体" w:cs="宋体"/>
          <w:sz w:val="28"/>
          <w:szCs w:val="28"/>
        </w:rPr>
      </w:pPr>
      <w:r>
        <w:rPr>
          <w:rFonts w:hint="eastAsia" w:ascii="宋体" w:hAnsi="宋体" w:eastAsia="宋体" w:cs="宋体"/>
          <w:sz w:val="28"/>
          <w:szCs w:val="28"/>
        </w:rPr>
        <w:t>3.职业岗位群对应的工作职责</w:t>
      </w:r>
    </w:p>
    <w:p>
      <w:pPr>
        <w:ind w:firstLine="566"/>
        <w:rPr>
          <w:rFonts w:ascii="宋体" w:hAnsi="宋体" w:eastAsia="宋体" w:cs="宋体"/>
          <w:sz w:val="28"/>
          <w:szCs w:val="28"/>
        </w:rPr>
      </w:pPr>
      <w:r>
        <w:rPr>
          <w:rFonts w:hint="eastAsia" w:ascii="宋体" w:hAnsi="宋体" w:eastAsia="宋体" w:cs="宋体"/>
          <w:sz w:val="28"/>
          <w:szCs w:val="28"/>
        </w:rPr>
        <w:t>从呼伦贝尔地区近几年的毕业生就业情况来看，社会对具有专科学历的高素质学前教育幼儿教师需求旺盛，学前教育毕业生供不应求，福利待遇也明显提高，学前幼儿教师已经成为社会和家长们抢夺的第一站教育资源，这为学前教育专业人才提供了一个巨大的就业市场和人生舞台。</w:t>
      </w:r>
    </w:p>
    <w:p>
      <w:pPr>
        <w:ind w:firstLine="566"/>
        <w:rPr>
          <w:rFonts w:ascii="宋体" w:hAnsi="宋体" w:eastAsia="宋体" w:cs="宋体"/>
          <w:sz w:val="28"/>
          <w:szCs w:val="28"/>
        </w:rPr>
      </w:pPr>
      <w:r>
        <w:rPr>
          <w:rFonts w:hint="eastAsia" w:ascii="宋体" w:hAnsi="宋体" w:eastAsia="宋体" w:cs="宋体"/>
          <w:sz w:val="28"/>
          <w:szCs w:val="28"/>
        </w:rPr>
        <w:t>4.职业岗位群对应的职业岗位能力分析</w:t>
      </w:r>
    </w:p>
    <w:tbl>
      <w:tblPr>
        <w:tblStyle w:val="11"/>
        <w:tblpPr w:leftFromText="180" w:rightFromText="180" w:vertAnchor="text" w:horzAnchor="page" w:tblpX="1593" w:tblpY="348"/>
        <w:tblOverlap w:val="never"/>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726"/>
        <w:gridCol w:w="5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65" w:type="dxa"/>
            <w:vAlign w:val="center"/>
          </w:tcPr>
          <w:p>
            <w:p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岗位名称</w:t>
            </w:r>
          </w:p>
        </w:tc>
        <w:tc>
          <w:tcPr>
            <w:tcW w:w="1726" w:type="dxa"/>
            <w:vAlign w:val="center"/>
          </w:tcPr>
          <w:p>
            <w:p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工作任务</w:t>
            </w:r>
          </w:p>
        </w:tc>
        <w:tc>
          <w:tcPr>
            <w:tcW w:w="5827" w:type="dxa"/>
          </w:tcPr>
          <w:p>
            <w:pPr>
              <w:spacing w:line="360" w:lineRule="exact"/>
              <w:ind w:firstLine="410"/>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职业能力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265" w:type="dxa"/>
            <w:vMerge w:val="restart"/>
            <w:vAlign w:val="center"/>
          </w:tcPr>
          <w:p>
            <w:p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幼儿教育</w:t>
            </w:r>
          </w:p>
        </w:tc>
        <w:tc>
          <w:tcPr>
            <w:tcW w:w="1726" w:type="dxa"/>
            <w:vAlign w:val="center"/>
          </w:tcPr>
          <w:p>
            <w:pPr>
              <w:spacing w:line="360" w:lineRule="exact"/>
              <w:ind w:firstLine="41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幼儿保育</w:t>
            </w:r>
          </w:p>
        </w:tc>
        <w:tc>
          <w:tcPr>
            <w:tcW w:w="5827" w:type="dxa"/>
            <w:vAlign w:val="center"/>
          </w:tcPr>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1．幼儿进餐、午睡、如厕等生活环节的保育能力</w:t>
            </w:r>
          </w:p>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2．幼儿常见疾病的辨析能力</w:t>
            </w:r>
          </w:p>
          <w:p>
            <w:pPr>
              <w:spacing w:line="36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3．幼儿身体意外情况的应急处理能力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265" w:type="dxa"/>
            <w:vMerge w:val="continue"/>
            <w:vAlign w:val="center"/>
          </w:tcPr>
          <w:p>
            <w:pPr>
              <w:spacing w:line="360" w:lineRule="exact"/>
              <w:ind w:firstLine="410"/>
              <w:jc w:val="left"/>
              <w:rPr>
                <w:rFonts w:asciiTheme="minorEastAsia" w:hAnsiTheme="minorEastAsia" w:eastAsiaTheme="minorEastAsia" w:cstheme="minorEastAsia"/>
                <w:sz w:val="18"/>
                <w:szCs w:val="18"/>
              </w:rPr>
            </w:pPr>
          </w:p>
        </w:tc>
        <w:tc>
          <w:tcPr>
            <w:tcW w:w="1726" w:type="dxa"/>
            <w:vAlign w:val="center"/>
          </w:tcPr>
          <w:p>
            <w:p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幼儿活动设计与</w:t>
            </w:r>
          </w:p>
          <w:p>
            <w:p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组织</w:t>
            </w:r>
          </w:p>
        </w:tc>
        <w:tc>
          <w:tcPr>
            <w:tcW w:w="5827" w:type="dxa"/>
          </w:tcPr>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1.教学活动（集体、小组、个人）的设计与组织能力</w:t>
            </w:r>
          </w:p>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2．游戏活动的设计与组织能力</w:t>
            </w:r>
          </w:p>
          <w:p>
            <w:pPr>
              <w:spacing w:line="36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3．区域活动等其他活动的设计与组织能力</w:t>
            </w:r>
          </w:p>
          <w:p>
            <w:pPr>
              <w:spacing w:line="36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4.对儿童行为观察和评价的能力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65" w:type="dxa"/>
            <w:vMerge w:val="continue"/>
            <w:vAlign w:val="center"/>
          </w:tcPr>
          <w:p>
            <w:pPr>
              <w:spacing w:line="360" w:lineRule="exact"/>
              <w:ind w:firstLine="410"/>
              <w:jc w:val="left"/>
              <w:rPr>
                <w:rFonts w:asciiTheme="minorEastAsia" w:hAnsiTheme="minorEastAsia" w:eastAsiaTheme="minorEastAsia" w:cstheme="minorEastAsia"/>
                <w:sz w:val="18"/>
                <w:szCs w:val="18"/>
              </w:rPr>
            </w:pPr>
          </w:p>
        </w:tc>
        <w:tc>
          <w:tcPr>
            <w:tcW w:w="1726" w:type="dxa"/>
            <w:vAlign w:val="center"/>
          </w:tcPr>
          <w:p>
            <w:pPr>
              <w:spacing w:line="360" w:lineRule="exact"/>
              <w:ind w:firstLine="41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幼儿园一日</w:t>
            </w:r>
          </w:p>
          <w:p>
            <w:pPr>
              <w:spacing w:line="360" w:lineRule="exact"/>
              <w:ind w:firstLine="41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生活管理</w:t>
            </w:r>
          </w:p>
        </w:tc>
        <w:tc>
          <w:tcPr>
            <w:tcW w:w="5827" w:type="dxa"/>
          </w:tcPr>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1．一日生活的整体规划能力</w:t>
            </w:r>
          </w:p>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2．一日生活各个环节的转换、衔接能力</w:t>
            </w:r>
          </w:p>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3．紧急情况的应急处理能力</w:t>
            </w:r>
          </w:p>
          <w:p>
            <w:pPr>
              <w:spacing w:line="36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4．与幼儿家长的沟通能力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265" w:type="dxa"/>
            <w:vMerge w:val="continue"/>
            <w:vAlign w:val="center"/>
          </w:tcPr>
          <w:p>
            <w:pPr>
              <w:spacing w:line="360" w:lineRule="exact"/>
              <w:ind w:firstLine="410"/>
              <w:jc w:val="left"/>
              <w:rPr>
                <w:rFonts w:asciiTheme="minorEastAsia" w:hAnsiTheme="minorEastAsia" w:eastAsiaTheme="minorEastAsia" w:cstheme="minorEastAsia"/>
                <w:sz w:val="18"/>
                <w:szCs w:val="18"/>
              </w:rPr>
            </w:pPr>
          </w:p>
        </w:tc>
        <w:tc>
          <w:tcPr>
            <w:tcW w:w="1726" w:type="dxa"/>
            <w:vAlign w:val="center"/>
          </w:tcPr>
          <w:p>
            <w:pPr>
              <w:spacing w:line="360" w:lineRule="exact"/>
              <w:ind w:firstLine="41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教育科研</w:t>
            </w:r>
          </w:p>
        </w:tc>
        <w:tc>
          <w:tcPr>
            <w:tcW w:w="5827" w:type="dxa"/>
          </w:tcPr>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1．信息数据的收集、整理能力</w:t>
            </w:r>
          </w:p>
          <w:p>
            <w:pPr>
              <w:spacing w:line="36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2．教学反思能力</w:t>
            </w:r>
          </w:p>
          <w:p>
            <w:pPr>
              <w:spacing w:line="36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3．保教研究能力</w:t>
            </w:r>
          </w:p>
        </w:tc>
      </w:tr>
    </w:tbl>
    <w:p>
      <w:pPr>
        <w:adjustRightInd w:val="0"/>
        <w:snapToGrid w:val="0"/>
        <w:spacing w:line="360" w:lineRule="auto"/>
        <w:ind w:firstLine="566" w:firstLineChars="200"/>
        <w:rPr>
          <w:rFonts w:ascii="宋体" w:hAnsi="宋体" w:eastAsia="宋体" w:cs="宋体"/>
          <w:b/>
          <w:sz w:val="28"/>
          <w:szCs w:val="28"/>
        </w:rPr>
      </w:pPr>
    </w:p>
    <w:p>
      <w:pPr>
        <w:adjustRightInd w:val="0"/>
        <w:snapToGrid w:val="0"/>
        <w:spacing w:line="360" w:lineRule="auto"/>
        <w:ind w:firstLine="566" w:firstLineChars="200"/>
        <w:outlineLvl w:val="1"/>
        <w:rPr>
          <w:rFonts w:ascii="宋体" w:hAnsi="宋体" w:eastAsia="宋体" w:cs="宋体"/>
          <w:b/>
          <w:sz w:val="28"/>
          <w:szCs w:val="28"/>
        </w:rPr>
      </w:pPr>
      <w:bookmarkStart w:id="68" w:name="_Toc87642153"/>
      <w:r>
        <w:rPr>
          <w:rFonts w:hint="eastAsia" w:ascii="宋体" w:hAnsi="宋体" w:eastAsia="宋体" w:cs="宋体"/>
          <w:b/>
          <w:sz w:val="28"/>
          <w:szCs w:val="28"/>
        </w:rPr>
        <w:t>（四）调研结论</w:t>
      </w:r>
      <w:bookmarkEnd w:id="68"/>
    </w:p>
    <w:p>
      <w:pPr>
        <w:spacing w:line="360" w:lineRule="auto"/>
        <w:ind w:firstLine="566" w:firstLineChars="200"/>
        <w:jc w:val="left"/>
        <w:rPr>
          <w:rFonts w:ascii="宋体" w:hAnsi="宋体" w:eastAsia="宋体" w:cs="宋体"/>
          <w:sz w:val="28"/>
          <w:szCs w:val="28"/>
        </w:rPr>
      </w:pPr>
      <w:r>
        <w:rPr>
          <w:rFonts w:hint="eastAsia" w:ascii="宋体" w:hAnsi="宋体" w:eastAsia="宋体" w:cs="宋体"/>
          <w:sz w:val="28"/>
          <w:szCs w:val="28"/>
        </w:rPr>
        <w:t>本专业培养适应现代幼教发展需要，具备学前教育专业知识，能在托幼机构从事保教工作的教师、学前教育行政人员以及其他有关机构的教学、管理实用性人才。</w:t>
      </w:r>
    </w:p>
    <w:p>
      <w:pPr>
        <w:rPr>
          <w:rFonts w:ascii="黑体" w:hAnsi="黑体" w:eastAsia="黑体" w:cs="黑体"/>
          <w:b/>
          <w:kern w:val="44"/>
          <w:sz w:val="28"/>
          <w:szCs w:val="28"/>
        </w:rPr>
      </w:pPr>
      <w:r>
        <w:rPr>
          <w:rFonts w:hint="eastAsia" w:ascii="黑体" w:hAnsi="黑体" w:eastAsia="黑体" w:cs="黑体"/>
          <w:b/>
          <w:kern w:val="44"/>
          <w:sz w:val="28"/>
          <w:szCs w:val="28"/>
        </w:rPr>
        <w:br w:type="page"/>
      </w:r>
    </w:p>
    <w:p>
      <w:pPr>
        <w:pStyle w:val="3"/>
        <w:spacing w:line="360" w:lineRule="auto"/>
        <w:rPr>
          <w:rFonts w:ascii="黑体" w:hAnsi="黑体" w:cs="黑体"/>
          <w:kern w:val="44"/>
          <w:sz w:val="28"/>
          <w:szCs w:val="28"/>
        </w:rPr>
      </w:pPr>
      <w:bookmarkStart w:id="69" w:name="_Toc87642154"/>
      <w:r>
        <w:rPr>
          <w:rFonts w:hint="eastAsia" w:ascii="黑体" w:hAnsi="黑体" w:cs="黑体"/>
          <w:kern w:val="44"/>
          <w:sz w:val="28"/>
          <w:szCs w:val="28"/>
        </w:rPr>
        <w:t>附录2：专业建设指导委员会审定意见</w:t>
      </w:r>
      <w:bookmarkEnd w:id="69"/>
    </w:p>
    <w:p>
      <w:pPr>
        <w:adjustRightInd w:val="0"/>
        <w:snapToGrid w:val="0"/>
        <w:spacing w:line="360" w:lineRule="auto"/>
        <w:ind w:firstLine="566" w:firstLineChars="200"/>
        <w:rPr>
          <w:rFonts w:ascii="黑体" w:hAnsi="黑体" w:eastAsia="黑体" w:cs="黑体"/>
          <w:b/>
          <w:kern w:val="44"/>
          <w:sz w:val="28"/>
          <w:szCs w:val="28"/>
        </w:rPr>
      </w:pPr>
      <w:r>
        <w:rPr>
          <w:rFonts w:ascii="黑体" w:hAnsi="黑体" w:eastAsia="黑体" w:cs="黑体"/>
          <w:b/>
          <w:kern w:val="44"/>
          <w:sz w:val="28"/>
          <w:szCs w:val="28"/>
        </w:rPr>
        <w:drawing>
          <wp:inline distT="0" distB="0" distL="0" distR="0">
            <wp:extent cx="5278120" cy="7443470"/>
            <wp:effectExtent l="0" t="0" r="0" b="5080"/>
            <wp:docPr id="38" name="图片 38" descr="C:\Users\Administrator.DESKTOP-L5P21OP\AppData\Local\Temp\WeChat Files\b13863279c9e159f72d4a4c0b83d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L5P21OP\AppData\Local\Temp\WeChat Files\b13863279c9e159f72d4a4c0b83d8d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8120" cy="7444042"/>
                    </a:xfrm>
                    <a:prstGeom prst="rect">
                      <a:avLst/>
                    </a:prstGeom>
                    <a:noFill/>
                    <a:ln>
                      <a:noFill/>
                    </a:ln>
                  </pic:spPr>
                </pic:pic>
              </a:graphicData>
            </a:graphic>
          </wp:inline>
        </w:drawing>
      </w:r>
    </w:p>
    <w:p>
      <w:pPr>
        <w:pStyle w:val="3"/>
        <w:spacing w:line="360" w:lineRule="auto"/>
        <w:rPr>
          <w:rFonts w:ascii="黑体" w:hAnsi="黑体" w:cs="黑体"/>
          <w:b w:val="0"/>
          <w:sz w:val="28"/>
          <w:szCs w:val="28"/>
        </w:rPr>
      </w:pPr>
      <w:bookmarkStart w:id="70" w:name="_Toc87642155"/>
      <w:r>
        <w:rPr>
          <w:rFonts w:hint="eastAsia" w:ascii="黑体" w:hAnsi="黑体" w:cs="黑体"/>
          <w:kern w:val="44"/>
          <w:sz w:val="28"/>
          <w:szCs w:val="28"/>
        </w:rPr>
        <w:t>附录3：学院教学工作委员会审批意见</w:t>
      </w:r>
      <w:bookmarkEnd w:id="70"/>
    </w:p>
    <w:p>
      <w:pPr>
        <w:rPr>
          <w:rFonts w:ascii="宋体" w:hAnsi="宋体" w:eastAsia="宋体" w:cs="宋体"/>
          <w:szCs w:val="28"/>
        </w:rPr>
      </w:pPr>
    </w:p>
    <w:p>
      <w:pPr>
        <w:rPr>
          <w:rFonts w:ascii="宋体" w:hAnsi="宋体" w:eastAsia="宋体" w:cs="宋体"/>
          <w:szCs w:val="28"/>
        </w:rPr>
      </w:pPr>
      <w:r>
        <w:drawing>
          <wp:inline distT="0" distB="0" distL="0" distR="0">
            <wp:extent cx="5278120" cy="7629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8120" cy="7629525"/>
                    </a:xfrm>
                    <a:prstGeom prst="rect">
                      <a:avLst/>
                    </a:prstGeom>
                  </pic:spPr>
                </pic:pic>
              </a:graphicData>
            </a:graphic>
          </wp:inline>
        </w:drawing>
      </w:r>
    </w:p>
    <w:p>
      <w:pPr>
        <w:pStyle w:val="3"/>
        <w:spacing w:line="360" w:lineRule="auto"/>
        <w:rPr>
          <w:rFonts w:ascii="黑体" w:hAnsi="黑体" w:cs="黑体"/>
          <w:kern w:val="44"/>
          <w:sz w:val="28"/>
          <w:szCs w:val="28"/>
        </w:rPr>
      </w:pPr>
      <w:bookmarkStart w:id="71" w:name="_Toc87642156"/>
      <w:r>
        <w:rPr>
          <w:rFonts w:hint="eastAsia" w:ascii="黑体" w:hAnsi="黑体" w:cs="黑体"/>
          <w:kern w:val="44"/>
          <w:sz w:val="28"/>
          <w:szCs w:val="28"/>
        </w:rPr>
        <w:t>附录4：呼伦贝尔职业技术学院关于制定三年高职专业人才培养方案的原则意见（2021年版）</w:t>
      </w:r>
      <w:bookmarkEnd w:id="71"/>
    </w:p>
    <w:p>
      <w:pPr>
        <w:ind w:firstLine="566" w:firstLineChars="200"/>
        <w:rPr>
          <w:rFonts w:ascii="黑体" w:hAnsi="黑体" w:eastAsia="黑体" w:cs="黑体"/>
          <w:b/>
          <w:kern w:val="44"/>
          <w:sz w:val="28"/>
          <w:szCs w:val="28"/>
        </w:rPr>
      </w:pPr>
      <w:r>
        <w:rPr>
          <w:rFonts w:hint="eastAsia" w:ascii="黑体" w:hAnsi="黑体" w:eastAsia="黑体" w:cs="黑体"/>
          <w:b/>
          <w:kern w:val="44"/>
          <w:sz w:val="28"/>
          <w:szCs w:val="28"/>
        </w:rPr>
        <w:drawing>
          <wp:inline distT="0" distB="0" distL="114300" distR="114300">
            <wp:extent cx="5274310" cy="7456805"/>
            <wp:effectExtent l="0" t="0" r="2540" b="10795"/>
            <wp:docPr id="21" name="图片 1" descr="share_export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share_exportpage0"/>
                    <pic:cNvPicPr>
                      <a:picLocks noChangeAspect="1"/>
                    </pic:cNvPicPr>
                  </pic:nvPicPr>
                  <pic:blipFill>
                    <a:blip r:embed="rId17"/>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15" name="图片 2" descr="share_export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share_exportpage1"/>
                    <pic:cNvPicPr>
                      <a:picLocks noChangeAspect="1"/>
                    </pic:cNvPicPr>
                  </pic:nvPicPr>
                  <pic:blipFill>
                    <a:blip r:embed="rId18"/>
                    <a:stretch>
                      <a:fillRect/>
                    </a:stretch>
                  </pic:blipFill>
                  <pic:spPr>
                    <a:xfrm>
                      <a:off x="0" y="0"/>
                      <a:ext cx="5274310" cy="7456805"/>
                    </a:xfrm>
                    <a:prstGeom prst="rect">
                      <a:avLst/>
                    </a:prstGeom>
                    <a:noFill/>
                    <a:ln>
                      <a:noFill/>
                    </a:ln>
                  </pic:spPr>
                </pic:pic>
              </a:graphicData>
            </a:graphic>
          </wp:inline>
        </w:drawing>
      </w:r>
    </w:p>
    <w:p>
      <w:pPr>
        <w:rPr>
          <w:rFonts w:ascii="宋体" w:hAnsi="宋体" w:eastAsia="宋体" w:cs="宋体"/>
          <w:szCs w:val="28"/>
        </w:rPr>
        <w:sectPr>
          <w:footerReference r:id="rId9" w:type="default"/>
          <w:pgSz w:w="11906" w:h="16838"/>
          <w:pgMar w:top="1440" w:right="1797" w:bottom="1440" w:left="1797" w:header="851" w:footer="992" w:gutter="0"/>
          <w:pgNumType w:start="1"/>
          <w:cols w:space="720" w:num="1"/>
          <w:docGrid w:type="linesAndChars" w:linePitch="319" w:charSpace="640"/>
        </w:sectPr>
      </w:pPr>
      <w:r>
        <w:rPr>
          <w:rFonts w:hint="eastAsia" w:ascii="黑体" w:hAnsi="黑体" w:eastAsia="黑体" w:cs="黑体"/>
          <w:b/>
          <w:kern w:val="44"/>
          <w:sz w:val="28"/>
          <w:szCs w:val="28"/>
        </w:rPr>
        <w:drawing>
          <wp:inline distT="0" distB="0" distL="114300" distR="114300">
            <wp:extent cx="5274310" cy="7456805"/>
            <wp:effectExtent l="0" t="0" r="2540" b="10795"/>
            <wp:docPr id="13" name="图片 3" descr="share_export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share_exportpage2"/>
                    <pic:cNvPicPr>
                      <a:picLocks noChangeAspect="1"/>
                    </pic:cNvPicPr>
                  </pic:nvPicPr>
                  <pic:blipFill>
                    <a:blip r:embed="rId19"/>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20" name="图片 4" descr="share_export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share_exportpage3"/>
                    <pic:cNvPicPr>
                      <a:picLocks noChangeAspect="1"/>
                    </pic:cNvPicPr>
                  </pic:nvPicPr>
                  <pic:blipFill>
                    <a:blip r:embed="rId20"/>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17" name="图片 5" descr="share_export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share_exportpage4"/>
                    <pic:cNvPicPr>
                      <a:picLocks noChangeAspect="1"/>
                    </pic:cNvPicPr>
                  </pic:nvPicPr>
                  <pic:blipFill>
                    <a:blip r:embed="rId21"/>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8" name="图片 6" descr="share_export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share_exportpage5"/>
                    <pic:cNvPicPr>
                      <a:picLocks noChangeAspect="1"/>
                    </pic:cNvPicPr>
                  </pic:nvPicPr>
                  <pic:blipFill>
                    <a:blip r:embed="rId22"/>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25" name="图片 7" descr="share_export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share_exportpage6"/>
                    <pic:cNvPicPr>
                      <a:picLocks noChangeAspect="1"/>
                    </pic:cNvPicPr>
                  </pic:nvPicPr>
                  <pic:blipFill>
                    <a:blip r:embed="rId23"/>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14" name="图片 8" descr="share_export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share_exportpage7"/>
                    <pic:cNvPicPr>
                      <a:picLocks noChangeAspect="1"/>
                    </pic:cNvPicPr>
                  </pic:nvPicPr>
                  <pic:blipFill>
                    <a:blip r:embed="rId24"/>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11" name="图片 9" descr="share_export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share_exportpage8"/>
                    <pic:cNvPicPr>
                      <a:picLocks noChangeAspect="1"/>
                    </pic:cNvPicPr>
                  </pic:nvPicPr>
                  <pic:blipFill>
                    <a:blip r:embed="rId25"/>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22" name="图片 10" descr="share_export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share_exportpage9"/>
                    <pic:cNvPicPr>
                      <a:picLocks noChangeAspect="1"/>
                    </pic:cNvPicPr>
                  </pic:nvPicPr>
                  <pic:blipFill>
                    <a:blip r:embed="rId26"/>
                    <a:stretch>
                      <a:fillRect/>
                    </a:stretch>
                  </pic:blipFill>
                  <pic:spPr>
                    <a:xfrm>
                      <a:off x="0" y="0"/>
                      <a:ext cx="5274310" cy="7456805"/>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612765" cy="8144510"/>
            <wp:effectExtent l="0" t="0" r="6985" b="8890"/>
            <wp:docPr id="16" name="图片 11" descr="share_export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share_exportpage10"/>
                    <pic:cNvPicPr>
                      <a:picLocks noChangeAspect="1"/>
                    </pic:cNvPicPr>
                  </pic:nvPicPr>
                  <pic:blipFill>
                    <a:blip r:embed="rId27"/>
                    <a:stretch>
                      <a:fillRect/>
                    </a:stretch>
                  </pic:blipFill>
                  <pic:spPr>
                    <a:xfrm>
                      <a:off x="0" y="0"/>
                      <a:ext cx="5612765" cy="8144510"/>
                    </a:xfrm>
                    <a:prstGeom prst="rect">
                      <a:avLst/>
                    </a:prstGeom>
                    <a:noFill/>
                    <a:ln>
                      <a:noFill/>
                    </a:ln>
                  </pic:spPr>
                </pic:pic>
              </a:graphicData>
            </a:graphic>
          </wp:inline>
        </w:drawing>
      </w:r>
      <w:r>
        <w:rPr>
          <w:rFonts w:hint="eastAsia" w:ascii="黑体" w:hAnsi="黑体" w:eastAsia="黑体" w:cs="黑体"/>
          <w:b/>
          <w:kern w:val="44"/>
          <w:sz w:val="28"/>
          <w:szCs w:val="28"/>
        </w:rPr>
        <w:drawing>
          <wp:inline distT="0" distB="0" distL="114300" distR="114300">
            <wp:extent cx="5274310" cy="7456805"/>
            <wp:effectExtent l="0" t="0" r="2540" b="10795"/>
            <wp:docPr id="18" name="图片 12" descr="share_export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share_exportpage11"/>
                    <pic:cNvPicPr>
                      <a:picLocks noChangeAspect="1"/>
                    </pic:cNvPicPr>
                  </pic:nvPicPr>
                  <pic:blipFill>
                    <a:blip r:embed="rId28"/>
                    <a:stretch>
                      <a:fillRect/>
                    </a:stretch>
                  </pic:blipFill>
                  <pic:spPr>
                    <a:xfrm>
                      <a:off x="0" y="0"/>
                      <a:ext cx="5274310" cy="7456805"/>
                    </a:xfrm>
                    <a:prstGeom prst="rect">
                      <a:avLst/>
                    </a:prstGeom>
                    <a:noFill/>
                    <a:ln>
                      <a:noFill/>
                    </a:ln>
                  </pic:spPr>
                </pic:pic>
              </a:graphicData>
            </a:graphic>
          </wp:inline>
        </w:drawing>
      </w:r>
    </w:p>
    <w:bookmarkEnd w:id="19"/>
    <w:p/>
    <w:p>
      <w:pPr>
        <w:jc w:val="center"/>
        <w:rPr>
          <w:rFonts w:ascii="宋体" w:hAnsi="宋体" w:eastAsia="宋体" w:cs="宋体"/>
          <w:sz w:val="28"/>
          <w:szCs w:val="28"/>
        </w:rPr>
      </w:pPr>
    </w:p>
    <w:p>
      <w:pPr>
        <w:jc w:val="center"/>
        <w:rPr>
          <w:rFonts w:ascii="宋体" w:hAnsi="宋体" w:eastAsia="宋体" w:cs="宋体"/>
          <w:sz w:val="28"/>
          <w:szCs w:val="28"/>
        </w:rPr>
      </w:pPr>
    </w:p>
    <w:p>
      <w:pPr>
        <w:jc w:val="center"/>
        <w:outlineLvl w:val="0"/>
        <w:rPr>
          <w:rFonts w:ascii="宋体" w:hAnsi="宋体"/>
          <w:bCs/>
          <w:sz w:val="24"/>
          <w:szCs w:val="21"/>
        </w:rPr>
      </w:pPr>
      <w:bookmarkStart w:id="72" w:name="_Toc87642157"/>
      <w:r>
        <w:rPr>
          <w:rFonts w:hint="eastAsia" w:ascii="宋体" w:hAnsi="宋体" w:eastAsia="宋体" w:cs="宋体"/>
          <w:sz w:val="28"/>
          <w:szCs w:val="28"/>
        </w:rPr>
        <w:t>附表2  学程时间安排表（以周计）</w:t>
      </w:r>
      <w:bookmarkEnd w:id="72"/>
    </w:p>
    <w:tbl>
      <w:tblPr>
        <w:tblStyle w:val="11"/>
        <w:tblW w:w="15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614"/>
        <w:gridCol w:w="1201"/>
        <w:gridCol w:w="843"/>
        <w:gridCol w:w="828"/>
        <w:gridCol w:w="595"/>
        <w:gridCol w:w="1793"/>
        <w:gridCol w:w="1735"/>
        <w:gridCol w:w="857"/>
        <w:gridCol w:w="857"/>
        <w:gridCol w:w="664"/>
        <w:gridCol w:w="664"/>
        <w:gridCol w:w="1525"/>
        <w:gridCol w:w="1016"/>
        <w:gridCol w:w="564"/>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3" w:hRule="atLeast"/>
          <w:jc w:val="center"/>
        </w:trPr>
        <w:tc>
          <w:tcPr>
            <w:tcW w:w="707"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学年</w:t>
            </w:r>
          </w:p>
        </w:tc>
        <w:tc>
          <w:tcPr>
            <w:tcW w:w="614"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学期</w:t>
            </w:r>
          </w:p>
        </w:tc>
        <w:tc>
          <w:tcPr>
            <w:tcW w:w="1201"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军事理论及训练（含入学教育）</w:t>
            </w:r>
          </w:p>
        </w:tc>
        <w:tc>
          <w:tcPr>
            <w:tcW w:w="843"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课堂教学</w:t>
            </w:r>
          </w:p>
        </w:tc>
        <w:tc>
          <w:tcPr>
            <w:tcW w:w="828"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考试</w:t>
            </w:r>
          </w:p>
        </w:tc>
        <w:tc>
          <w:tcPr>
            <w:tcW w:w="595"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机动</w:t>
            </w:r>
          </w:p>
        </w:tc>
        <w:tc>
          <w:tcPr>
            <w:tcW w:w="1793" w:type="dxa"/>
            <w:vAlign w:val="center"/>
          </w:tcPr>
          <w:p>
            <w:pP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 xml:space="preserve">毕业实习、毕业论文（设计）与综合训练、实习设计等 </w:t>
            </w:r>
          </w:p>
        </w:tc>
        <w:tc>
          <w:tcPr>
            <w:tcW w:w="1735" w:type="dxa"/>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毕业实习总结、毕业论文（设计）与综合训练答辩</w:t>
            </w:r>
          </w:p>
        </w:tc>
        <w:tc>
          <w:tcPr>
            <w:tcW w:w="857"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认知实习</w:t>
            </w:r>
          </w:p>
        </w:tc>
        <w:tc>
          <w:tcPr>
            <w:tcW w:w="857"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毕业教育</w:t>
            </w:r>
          </w:p>
        </w:tc>
        <w:tc>
          <w:tcPr>
            <w:tcW w:w="664" w:type="dxa"/>
            <w:textDirection w:val="tbRlV"/>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毕业鉴定</w:t>
            </w:r>
          </w:p>
        </w:tc>
        <w:tc>
          <w:tcPr>
            <w:tcW w:w="664" w:type="dxa"/>
            <w:textDirection w:val="tbRlV"/>
            <w:vAlign w:val="center"/>
          </w:tcPr>
          <w:p>
            <w:pPr>
              <w:ind w:left="113" w:right="113"/>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劳动实践</w:t>
            </w:r>
          </w:p>
        </w:tc>
        <w:tc>
          <w:tcPr>
            <w:tcW w:w="1525"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合计</w:t>
            </w:r>
          </w:p>
        </w:tc>
        <w:tc>
          <w:tcPr>
            <w:tcW w:w="1016"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社会实践</w:t>
            </w:r>
          </w:p>
        </w:tc>
        <w:tc>
          <w:tcPr>
            <w:tcW w:w="564"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备注</w:t>
            </w:r>
          </w:p>
        </w:tc>
        <w:tc>
          <w:tcPr>
            <w:tcW w:w="548" w:type="dxa"/>
            <w:vAlign w:val="center"/>
          </w:tcPr>
          <w:p>
            <w:pPr>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7" w:type="dxa"/>
            <w:vMerge w:val="restart"/>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第一</w:t>
            </w:r>
          </w:p>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学年</w:t>
            </w: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一</w:t>
            </w: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w:t>
            </w: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15</w:t>
            </w:r>
          </w:p>
        </w:tc>
        <w:tc>
          <w:tcPr>
            <w:tcW w:w="828"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w:t>
            </w: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p>
        </w:tc>
        <w:tc>
          <w:tcPr>
            <w:tcW w:w="1735" w:type="dxa"/>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Align w:val="center"/>
          </w:tcPr>
          <w:p>
            <w:pPr>
              <w:rPr>
                <w:rFonts w:asciiTheme="minorEastAsia" w:hAnsiTheme="minorEastAsia" w:eastAsiaTheme="minorEastAsia" w:cstheme="minorEastAsia"/>
                <w:bCs/>
                <w:kern w:val="0"/>
                <w:sz w:val="18"/>
                <w:szCs w:val="18"/>
              </w:rPr>
            </w:pP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016" w:type="dxa"/>
            <w:vMerge w:val="restart"/>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w:t>
            </w: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7" w:type="dxa"/>
            <w:vMerge w:val="continue"/>
            <w:vAlign w:val="center"/>
          </w:tcPr>
          <w:p>
            <w:pPr>
              <w:spacing w:line="500" w:lineRule="exact"/>
              <w:jc w:val="center"/>
              <w:rPr>
                <w:rFonts w:asciiTheme="minorEastAsia" w:hAnsiTheme="minorEastAsia" w:eastAsiaTheme="minorEastAsia" w:cstheme="minorEastAsia"/>
                <w:bCs/>
                <w:kern w:val="0"/>
                <w:sz w:val="18"/>
                <w:szCs w:val="18"/>
              </w:rPr>
            </w:pP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二</w:t>
            </w: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16</w:t>
            </w:r>
          </w:p>
        </w:tc>
        <w:tc>
          <w:tcPr>
            <w:tcW w:w="828"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p>
        </w:tc>
        <w:tc>
          <w:tcPr>
            <w:tcW w:w="1735" w:type="dxa"/>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hint="eastAsia" w:asciiTheme="minorEastAsia" w:hAnsiTheme="minorEastAsia" w:eastAsiaTheme="minorEastAsia" w:cstheme="minorEastAsia"/>
                <w:bCs/>
                <w:kern w:val="0"/>
                <w:sz w:val="18"/>
                <w:szCs w:val="18"/>
                <w:lang w:val="en-US" w:eastAsia="zh-CN"/>
              </w:rPr>
            </w:pPr>
            <w:r>
              <w:rPr>
                <w:rFonts w:hint="eastAsia" w:asciiTheme="minorEastAsia" w:hAnsiTheme="minorEastAsia" w:eastAsiaTheme="minorEastAsia" w:cstheme="minorEastAsia"/>
                <w:bCs/>
                <w:kern w:val="0"/>
                <w:sz w:val="18"/>
                <w:szCs w:val="18"/>
                <w:lang w:val="en-US" w:eastAsia="zh-CN"/>
              </w:rPr>
              <w:t>1</w:t>
            </w: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Merge w:val="restart"/>
            <w:vAlign w:val="center"/>
          </w:tcPr>
          <w:p>
            <w:pP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016" w:type="dxa"/>
            <w:vMerge w:val="continue"/>
            <w:vAlign w:val="center"/>
          </w:tcPr>
          <w:p>
            <w:pPr>
              <w:jc w:val="center"/>
              <w:rPr>
                <w:rFonts w:asciiTheme="minorEastAsia" w:hAnsiTheme="minorEastAsia" w:eastAsiaTheme="minorEastAsia" w:cstheme="minorEastAsia"/>
                <w:bCs/>
                <w:kern w:val="0"/>
                <w:sz w:val="18"/>
                <w:szCs w:val="18"/>
              </w:rPr>
            </w:pP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7" w:type="dxa"/>
            <w:vMerge w:val="restart"/>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第二</w:t>
            </w:r>
          </w:p>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学年</w:t>
            </w: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三</w:t>
            </w: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16</w:t>
            </w:r>
          </w:p>
        </w:tc>
        <w:tc>
          <w:tcPr>
            <w:tcW w:w="828"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p>
        </w:tc>
        <w:tc>
          <w:tcPr>
            <w:tcW w:w="1735" w:type="dxa"/>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Merge w:val="continue"/>
            <w:vAlign w:val="center"/>
          </w:tcPr>
          <w:p>
            <w:pPr>
              <w:jc w:val="center"/>
              <w:rPr>
                <w:rFonts w:asciiTheme="minorEastAsia" w:hAnsiTheme="minorEastAsia" w:eastAsiaTheme="minorEastAsia" w:cstheme="minorEastAsia"/>
                <w:bCs/>
                <w:kern w:val="0"/>
                <w:sz w:val="18"/>
                <w:szCs w:val="18"/>
              </w:rPr>
            </w:pP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016" w:type="dxa"/>
            <w:vMerge w:val="restart"/>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w:t>
            </w: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7" w:type="dxa"/>
            <w:vMerge w:val="continue"/>
            <w:vAlign w:val="center"/>
          </w:tcPr>
          <w:p>
            <w:pPr>
              <w:spacing w:line="500" w:lineRule="exact"/>
              <w:jc w:val="center"/>
              <w:rPr>
                <w:rFonts w:asciiTheme="minorEastAsia" w:hAnsiTheme="minorEastAsia" w:eastAsiaTheme="minorEastAsia" w:cstheme="minorEastAsia"/>
                <w:bCs/>
                <w:kern w:val="0"/>
                <w:sz w:val="18"/>
                <w:szCs w:val="18"/>
              </w:rPr>
            </w:pP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四</w:t>
            </w: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13</w:t>
            </w:r>
          </w:p>
        </w:tc>
        <w:tc>
          <w:tcPr>
            <w:tcW w:w="828"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3</w:t>
            </w:r>
          </w:p>
        </w:tc>
        <w:tc>
          <w:tcPr>
            <w:tcW w:w="1735" w:type="dxa"/>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Merge w:val="continue"/>
            <w:vAlign w:val="center"/>
          </w:tcPr>
          <w:p>
            <w:pPr>
              <w:jc w:val="center"/>
              <w:rPr>
                <w:rFonts w:asciiTheme="minorEastAsia" w:hAnsiTheme="minorEastAsia" w:eastAsiaTheme="minorEastAsia" w:cstheme="minorEastAsia"/>
                <w:bCs/>
                <w:kern w:val="0"/>
                <w:sz w:val="18"/>
                <w:szCs w:val="18"/>
              </w:rPr>
            </w:pP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016" w:type="dxa"/>
            <w:vMerge w:val="continue"/>
            <w:vAlign w:val="center"/>
          </w:tcPr>
          <w:p>
            <w:pPr>
              <w:jc w:val="center"/>
              <w:rPr>
                <w:rFonts w:asciiTheme="minorEastAsia" w:hAnsiTheme="minorEastAsia" w:eastAsiaTheme="minorEastAsia" w:cstheme="minorEastAsia"/>
                <w:bCs/>
                <w:kern w:val="0"/>
                <w:sz w:val="18"/>
                <w:szCs w:val="18"/>
              </w:rPr>
            </w:pP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707" w:type="dxa"/>
            <w:vMerge w:val="restart"/>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第三</w:t>
            </w:r>
          </w:p>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学年</w:t>
            </w: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五</w:t>
            </w: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28"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w:t>
            </w: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735" w:type="dxa"/>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664" w:type="dxa"/>
            <w:vMerge w:val="restart"/>
            <w:vAlign w:val="center"/>
          </w:tcPr>
          <w:p>
            <w:pPr>
              <w:rPr>
                <w:rFonts w:asciiTheme="minorEastAsia" w:hAnsiTheme="minorEastAsia" w:eastAsiaTheme="minorEastAsia" w:cstheme="minorEastAsia"/>
                <w:bCs/>
                <w:kern w:val="0"/>
                <w:sz w:val="18"/>
                <w:szCs w:val="18"/>
              </w:rPr>
            </w:pP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016" w:type="dxa"/>
            <w:vMerge w:val="restart"/>
            <w:vAlign w:val="center"/>
          </w:tcPr>
          <w:p>
            <w:pPr>
              <w:jc w:val="center"/>
              <w:rPr>
                <w:rFonts w:asciiTheme="minorEastAsia" w:hAnsiTheme="minorEastAsia" w:eastAsiaTheme="minorEastAsia" w:cstheme="minorEastAsia"/>
                <w:bCs/>
                <w:kern w:val="0"/>
                <w:sz w:val="18"/>
                <w:szCs w:val="18"/>
              </w:rPr>
            </w:pP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707" w:type="dxa"/>
            <w:vMerge w:val="continue"/>
            <w:vAlign w:val="center"/>
          </w:tcPr>
          <w:p>
            <w:pPr>
              <w:spacing w:line="500" w:lineRule="exact"/>
              <w:jc w:val="center"/>
              <w:rPr>
                <w:rFonts w:asciiTheme="minorEastAsia" w:hAnsiTheme="minorEastAsia" w:eastAsiaTheme="minorEastAsia" w:cstheme="minorEastAsia"/>
                <w:bCs/>
                <w:kern w:val="0"/>
                <w:sz w:val="18"/>
                <w:szCs w:val="18"/>
              </w:rPr>
            </w:pP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六</w:t>
            </w: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28" w:type="dxa"/>
          </w:tcPr>
          <w:p>
            <w:pPr>
              <w:spacing w:line="500" w:lineRule="exact"/>
              <w:jc w:val="center"/>
              <w:rPr>
                <w:rFonts w:asciiTheme="minorEastAsia" w:hAnsiTheme="minorEastAsia" w:eastAsiaTheme="minorEastAsia" w:cstheme="minorEastAsia"/>
                <w:bCs/>
                <w:kern w:val="0"/>
                <w:sz w:val="18"/>
                <w:szCs w:val="18"/>
              </w:rPr>
            </w:pP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10</w:t>
            </w:r>
          </w:p>
        </w:tc>
        <w:tc>
          <w:tcPr>
            <w:tcW w:w="173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4</w:t>
            </w: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664" w:type="dxa"/>
            <w:vMerge w:val="continue"/>
            <w:vAlign w:val="center"/>
          </w:tcPr>
          <w:p>
            <w:pPr>
              <w:spacing w:line="500" w:lineRule="exact"/>
              <w:jc w:val="center"/>
              <w:rPr>
                <w:rFonts w:asciiTheme="minorEastAsia" w:hAnsiTheme="minorEastAsia" w:eastAsiaTheme="minorEastAsia" w:cstheme="minorEastAsia"/>
                <w:bCs/>
                <w:kern w:val="0"/>
                <w:sz w:val="18"/>
                <w:szCs w:val="18"/>
              </w:rPr>
            </w:pP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20</w:t>
            </w:r>
          </w:p>
        </w:tc>
        <w:tc>
          <w:tcPr>
            <w:tcW w:w="1016" w:type="dxa"/>
            <w:vMerge w:val="continue"/>
            <w:vAlign w:val="center"/>
          </w:tcPr>
          <w:p>
            <w:pPr>
              <w:jc w:val="center"/>
              <w:rPr>
                <w:rFonts w:asciiTheme="minorEastAsia" w:hAnsiTheme="minorEastAsia" w:eastAsiaTheme="minorEastAsia" w:cstheme="minorEastAsia"/>
                <w:bCs/>
                <w:kern w:val="0"/>
                <w:sz w:val="18"/>
                <w:szCs w:val="18"/>
              </w:rPr>
            </w:pP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07"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合计</w:t>
            </w:r>
          </w:p>
        </w:tc>
        <w:tc>
          <w:tcPr>
            <w:tcW w:w="61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1201"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2</w:t>
            </w:r>
          </w:p>
        </w:tc>
        <w:tc>
          <w:tcPr>
            <w:tcW w:w="84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60</w:t>
            </w:r>
          </w:p>
        </w:tc>
        <w:tc>
          <w:tcPr>
            <w:tcW w:w="828" w:type="dxa"/>
          </w:tcPr>
          <w:p>
            <w:pPr>
              <w:spacing w:line="500" w:lineRule="exact"/>
              <w:ind w:firstLine="183" w:firstLineChars="100"/>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5</w:t>
            </w:r>
          </w:p>
        </w:tc>
        <w:tc>
          <w:tcPr>
            <w:tcW w:w="595" w:type="dxa"/>
            <w:vAlign w:val="center"/>
          </w:tcPr>
          <w:p>
            <w:pPr>
              <w:spacing w:line="500" w:lineRule="exact"/>
              <w:jc w:val="center"/>
              <w:rPr>
                <w:rFonts w:asciiTheme="minorEastAsia" w:hAnsiTheme="minorEastAsia" w:eastAsiaTheme="minorEastAsia" w:cstheme="minorEastAsia"/>
                <w:bCs/>
                <w:kern w:val="0"/>
                <w:sz w:val="18"/>
                <w:szCs w:val="18"/>
              </w:rPr>
            </w:pPr>
            <w:r>
              <w:rPr>
                <w:rFonts w:asciiTheme="minorEastAsia" w:hAnsiTheme="minorEastAsia" w:eastAsiaTheme="minorEastAsia" w:cstheme="minorEastAsia"/>
                <w:bCs/>
                <w:kern w:val="0"/>
                <w:sz w:val="18"/>
                <w:szCs w:val="18"/>
              </w:rPr>
              <w:t>6</w:t>
            </w:r>
          </w:p>
        </w:tc>
        <w:tc>
          <w:tcPr>
            <w:tcW w:w="1793"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33</w:t>
            </w:r>
          </w:p>
        </w:tc>
        <w:tc>
          <w:tcPr>
            <w:tcW w:w="173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4</w:t>
            </w:r>
          </w:p>
        </w:tc>
        <w:tc>
          <w:tcPr>
            <w:tcW w:w="857" w:type="dxa"/>
            <w:vAlign w:val="center"/>
          </w:tcPr>
          <w:p>
            <w:pPr>
              <w:spacing w:line="500" w:lineRule="exact"/>
              <w:jc w:val="center"/>
              <w:rPr>
                <w:rFonts w:hint="eastAsia" w:asciiTheme="minorEastAsia" w:hAnsiTheme="minorEastAsia" w:eastAsiaTheme="minorEastAsia" w:cstheme="minorEastAsia"/>
                <w:bCs/>
                <w:kern w:val="0"/>
                <w:sz w:val="18"/>
                <w:szCs w:val="18"/>
                <w:lang w:val="en-US" w:eastAsia="zh-CN"/>
              </w:rPr>
            </w:pPr>
            <w:r>
              <w:rPr>
                <w:rFonts w:hint="eastAsia" w:asciiTheme="minorEastAsia" w:hAnsiTheme="minorEastAsia" w:eastAsiaTheme="minorEastAsia" w:cstheme="minorEastAsia"/>
                <w:bCs/>
                <w:kern w:val="0"/>
                <w:sz w:val="18"/>
                <w:szCs w:val="18"/>
                <w:lang w:val="en-US" w:eastAsia="zh-CN"/>
              </w:rPr>
              <w:t>2</w:t>
            </w:r>
          </w:p>
        </w:tc>
        <w:tc>
          <w:tcPr>
            <w:tcW w:w="857"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664"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w:t>
            </w:r>
          </w:p>
        </w:tc>
        <w:tc>
          <w:tcPr>
            <w:tcW w:w="1525" w:type="dxa"/>
            <w:vAlign w:val="center"/>
          </w:tcPr>
          <w:p>
            <w:pPr>
              <w:spacing w:line="500" w:lineRule="exact"/>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1200</w:t>
            </w:r>
          </w:p>
        </w:tc>
        <w:tc>
          <w:tcPr>
            <w:tcW w:w="1016" w:type="dxa"/>
            <w:vAlign w:val="center"/>
          </w:tcPr>
          <w:p>
            <w:pPr>
              <w:jc w:val="center"/>
              <w:rPr>
                <w:rFonts w:asciiTheme="minorEastAsia" w:hAnsiTheme="minorEastAsia" w:eastAsiaTheme="minorEastAsia" w:cstheme="minorEastAsia"/>
                <w:bCs/>
                <w:kern w:val="0"/>
                <w:sz w:val="18"/>
                <w:szCs w:val="18"/>
              </w:rPr>
            </w:pPr>
            <w:r>
              <w:rPr>
                <w:rFonts w:hint="eastAsia" w:asciiTheme="minorEastAsia" w:hAnsiTheme="minorEastAsia" w:eastAsiaTheme="minorEastAsia" w:cstheme="minorEastAsia"/>
                <w:bCs/>
                <w:kern w:val="0"/>
                <w:sz w:val="18"/>
                <w:szCs w:val="18"/>
              </w:rPr>
              <w:t>4</w:t>
            </w:r>
          </w:p>
        </w:tc>
        <w:tc>
          <w:tcPr>
            <w:tcW w:w="564" w:type="dxa"/>
            <w:vAlign w:val="center"/>
          </w:tcPr>
          <w:p>
            <w:pPr>
              <w:spacing w:line="500" w:lineRule="exact"/>
              <w:jc w:val="center"/>
              <w:rPr>
                <w:rFonts w:asciiTheme="minorEastAsia" w:hAnsiTheme="minorEastAsia" w:eastAsiaTheme="minorEastAsia" w:cstheme="minorEastAsia"/>
                <w:bCs/>
                <w:kern w:val="0"/>
                <w:sz w:val="18"/>
                <w:szCs w:val="18"/>
              </w:rPr>
            </w:pPr>
          </w:p>
        </w:tc>
        <w:tc>
          <w:tcPr>
            <w:tcW w:w="548" w:type="dxa"/>
            <w:vAlign w:val="center"/>
          </w:tcPr>
          <w:p>
            <w:pPr>
              <w:spacing w:line="500" w:lineRule="exact"/>
              <w:jc w:val="center"/>
              <w:rPr>
                <w:rFonts w:asciiTheme="minorEastAsia" w:hAnsiTheme="minorEastAsia" w:eastAsiaTheme="minorEastAsia" w:cstheme="minorEastAsia"/>
                <w:bCs/>
                <w:kern w:val="0"/>
                <w:sz w:val="18"/>
                <w:szCs w:val="18"/>
              </w:rPr>
            </w:pPr>
          </w:p>
        </w:tc>
      </w:tr>
    </w:tbl>
    <w:p>
      <w:pPr>
        <w:rPr>
          <w:vanish/>
        </w:rPr>
      </w:pPr>
    </w:p>
    <w:p>
      <w:pPr>
        <w:jc w:val="center"/>
        <w:rPr>
          <w:rFonts w:ascii="宋体" w:hAnsi="宋体" w:eastAsia="宋体" w:cs="宋体"/>
          <w:sz w:val="28"/>
          <w:szCs w:val="28"/>
        </w:rPr>
      </w:pPr>
      <w:r>
        <w:rPr>
          <w:rFonts w:hint="eastAsia" w:ascii="宋体" w:hAnsi="宋体" w:eastAsia="宋体" w:cs="宋体"/>
          <w:sz w:val="28"/>
          <w:szCs w:val="28"/>
        </w:rPr>
        <w:br w:type="page"/>
      </w:r>
    </w:p>
    <w:p>
      <w:pPr>
        <w:spacing w:line="360" w:lineRule="auto"/>
        <w:ind w:firstLine="426" w:firstLineChars="200"/>
        <w:jc w:val="center"/>
        <w:rPr>
          <w:rFonts w:ascii="宋体" w:hAnsi="宋体" w:eastAsia="宋体" w:cs="宋体"/>
          <w:sz w:val="28"/>
          <w:szCs w:val="28"/>
        </w:rPr>
      </w:pPr>
      <w:r>
        <w:drawing>
          <wp:inline distT="0" distB="0" distL="114300" distR="114300">
            <wp:extent cx="8859520" cy="5450840"/>
            <wp:effectExtent l="0" t="0" r="17780" b="165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9"/>
                    <a:stretch>
                      <a:fillRect/>
                    </a:stretch>
                  </pic:blipFill>
                  <pic:spPr>
                    <a:xfrm>
                      <a:off x="0" y="0"/>
                      <a:ext cx="8859520" cy="5450840"/>
                    </a:xfrm>
                    <a:prstGeom prst="rect">
                      <a:avLst/>
                    </a:prstGeom>
                    <a:noFill/>
                    <a:ln>
                      <a:noFill/>
                    </a:ln>
                  </pic:spPr>
                </pic:pic>
              </a:graphicData>
            </a:graphic>
          </wp:inline>
        </w:drawing>
      </w:r>
      <w:r>
        <w:drawing>
          <wp:inline distT="0" distB="0" distL="114300" distR="114300">
            <wp:extent cx="8857615" cy="5486400"/>
            <wp:effectExtent l="0" t="0" r="635"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0"/>
                    <a:stretch>
                      <a:fillRect/>
                    </a:stretch>
                  </pic:blipFill>
                  <pic:spPr>
                    <a:xfrm>
                      <a:off x="0" y="0"/>
                      <a:ext cx="8857615" cy="5486400"/>
                    </a:xfrm>
                    <a:prstGeom prst="rect">
                      <a:avLst/>
                    </a:prstGeom>
                    <a:noFill/>
                    <a:ln>
                      <a:noFill/>
                    </a:ln>
                  </pic:spPr>
                </pic:pic>
              </a:graphicData>
            </a:graphic>
          </wp:inline>
        </w:drawing>
      </w:r>
      <w:r>
        <w:drawing>
          <wp:inline distT="0" distB="0" distL="114300" distR="114300">
            <wp:extent cx="8858250" cy="5429885"/>
            <wp:effectExtent l="0" t="0" r="0" b="184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1"/>
                    <a:stretch>
                      <a:fillRect/>
                    </a:stretch>
                  </pic:blipFill>
                  <pic:spPr>
                    <a:xfrm>
                      <a:off x="0" y="0"/>
                      <a:ext cx="8858250" cy="5429885"/>
                    </a:xfrm>
                    <a:prstGeom prst="rect">
                      <a:avLst/>
                    </a:prstGeom>
                    <a:noFill/>
                    <a:ln>
                      <a:noFill/>
                    </a:ln>
                  </pic:spPr>
                </pic:pic>
              </a:graphicData>
            </a:graphic>
          </wp:inline>
        </w:drawing>
      </w:r>
      <w:r>
        <w:drawing>
          <wp:inline distT="0" distB="0" distL="114300" distR="114300">
            <wp:extent cx="8855710" cy="5300980"/>
            <wp:effectExtent l="0" t="0" r="2540" b="1397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2"/>
                    <a:stretch>
                      <a:fillRect/>
                    </a:stretch>
                  </pic:blipFill>
                  <pic:spPr>
                    <a:xfrm>
                      <a:off x="0" y="0"/>
                      <a:ext cx="8855710" cy="5300980"/>
                    </a:xfrm>
                    <a:prstGeom prst="rect">
                      <a:avLst/>
                    </a:prstGeom>
                    <a:noFill/>
                    <a:ln>
                      <a:noFill/>
                    </a:ln>
                  </pic:spPr>
                </pic:pic>
              </a:graphicData>
            </a:graphic>
          </wp:inline>
        </w:drawing>
      </w:r>
    </w:p>
    <w:p>
      <w:pPr>
        <w:spacing w:line="360" w:lineRule="auto"/>
        <w:ind w:firstLine="566" w:firstLineChars="200"/>
        <w:rPr>
          <w:rFonts w:ascii="宋体" w:hAnsi="宋体" w:eastAsia="宋体" w:cs="宋体"/>
          <w:sz w:val="28"/>
          <w:szCs w:val="28"/>
        </w:rPr>
      </w:pPr>
    </w:p>
    <w:p>
      <w:pPr>
        <w:spacing w:line="360" w:lineRule="auto"/>
        <w:ind w:firstLine="566" w:firstLineChars="200"/>
        <w:jc w:val="center"/>
        <w:outlineLvl w:val="0"/>
        <w:rPr>
          <w:rFonts w:ascii="宋体" w:hAnsi="宋体" w:eastAsia="宋体" w:cs="宋体"/>
          <w:sz w:val="28"/>
          <w:szCs w:val="28"/>
        </w:rPr>
      </w:pPr>
      <w:bookmarkStart w:id="73" w:name="_Toc87642158"/>
      <w:r>
        <w:rPr>
          <w:rFonts w:hint="eastAsia" w:ascii="宋体" w:hAnsi="宋体" w:eastAsia="宋体" w:cs="宋体"/>
          <w:sz w:val="28"/>
          <w:szCs w:val="28"/>
        </w:rPr>
        <w:t>附表3：专业实践环节教学进程表</w:t>
      </w:r>
      <w:bookmarkEnd w:id="73"/>
    </w:p>
    <w:p>
      <w:pPr>
        <w:spacing w:line="360" w:lineRule="auto"/>
        <w:ind w:firstLine="566" w:firstLineChars="200"/>
        <w:jc w:val="center"/>
        <w:rPr>
          <w:rFonts w:ascii="宋体" w:hAnsi="宋体" w:eastAsia="宋体" w:cs="宋体"/>
          <w:sz w:val="28"/>
          <w:szCs w:val="28"/>
        </w:rPr>
      </w:pPr>
    </w:p>
    <w:tbl>
      <w:tblPr>
        <w:tblStyle w:val="11"/>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3234"/>
        <w:gridCol w:w="2025"/>
        <w:gridCol w:w="2025"/>
        <w:gridCol w:w="2025"/>
        <w:gridCol w:w="2025"/>
        <w:gridCol w:w="2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14"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序号</w:t>
            </w:r>
          </w:p>
        </w:tc>
        <w:tc>
          <w:tcPr>
            <w:tcW w:w="3234" w:type="dxa"/>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内容</w:t>
            </w:r>
          </w:p>
        </w:tc>
        <w:tc>
          <w:tcPr>
            <w:tcW w:w="2025"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总学时</w:t>
            </w:r>
          </w:p>
        </w:tc>
        <w:tc>
          <w:tcPr>
            <w:tcW w:w="2025" w:type="dxa"/>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学分</w:t>
            </w:r>
          </w:p>
        </w:tc>
        <w:tc>
          <w:tcPr>
            <w:tcW w:w="2025"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学期</w:t>
            </w:r>
          </w:p>
        </w:tc>
        <w:tc>
          <w:tcPr>
            <w:tcW w:w="2025"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周数</w:t>
            </w:r>
          </w:p>
        </w:tc>
        <w:tc>
          <w:tcPr>
            <w:tcW w:w="2026"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14" w:type="dxa"/>
            <w:vAlign w:val="center"/>
          </w:tcPr>
          <w:p>
            <w:pPr>
              <w:jc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1</w:t>
            </w:r>
          </w:p>
        </w:tc>
        <w:tc>
          <w:tcPr>
            <w:tcW w:w="3234"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专业见习</w:t>
            </w:r>
          </w:p>
        </w:tc>
        <w:tc>
          <w:tcPr>
            <w:tcW w:w="2025" w:type="dxa"/>
            <w:vAlign w:val="center"/>
          </w:tcPr>
          <w:p>
            <w:pPr>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36</w:t>
            </w:r>
          </w:p>
        </w:tc>
        <w:tc>
          <w:tcPr>
            <w:tcW w:w="2025" w:type="dxa"/>
            <w:vAlign w:val="center"/>
          </w:tcPr>
          <w:p>
            <w:pPr>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w:t>
            </w:r>
          </w:p>
        </w:tc>
        <w:tc>
          <w:tcPr>
            <w:tcW w:w="2025" w:type="dxa"/>
            <w:vAlign w:val="center"/>
          </w:tcPr>
          <w:p>
            <w:pPr>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2-3</w:t>
            </w:r>
          </w:p>
        </w:tc>
        <w:tc>
          <w:tcPr>
            <w:tcW w:w="2025" w:type="dxa"/>
            <w:vAlign w:val="center"/>
          </w:tcPr>
          <w:p>
            <w:pPr>
              <w:jc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2</w:t>
            </w:r>
          </w:p>
        </w:tc>
        <w:tc>
          <w:tcPr>
            <w:tcW w:w="2026" w:type="dxa"/>
            <w:vAlign w:val="center"/>
          </w:tcPr>
          <w:p>
            <w:pPr>
              <w:jc w:val="center"/>
              <w:rPr>
                <w:rFonts w:asciiTheme="minorEastAsia" w:hAnsiTheme="minorEastAsia" w:eastAsiaTheme="minorEastAsia" w:cs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14" w:type="dxa"/>
            <w:vAlign w:val="center"/>
          </w:tcPr>
          <w:p>
            <w:pPr>
              <w:jc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2</w:t>
            </w:r>
          </w:p>
        </w:tc>
        <w:tc>
          <w:tcPr>
            <w:tcW w:w="3234" w:type="dxa"/>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综合实践</w:t>
            </w:r>
          </w:p>
        </w:tc>
        <w:tc>
          <w:tcPr>
            <w:tcW w:w="2025" w:type="dxa"/>
            <w:vAlign w:val="center"/>
          </w:tcPr>
          <w:p>
            <w:pPr>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54</w:t>
            </w:r>
          </w:p>
        </w:tc>
        <w:tc>
          <w:tcPr>
            <w:tcW w:w="2025" w:type="dxa"/>
            <w:vAlign w:val="center"/>
          </w:tcPr>
          <w:p>
            <w:pPr>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w:t>
            </w:r>
          </w:p>
        </w:tc>
        <w:tc>
          <w:tcPr>
            <w:tcW w:w="2025"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4</w:t>
            </w:r>
          </w:p>
        </w:tc>
        <w:tc>
          <w:tcPr>
            <w:tcW w:w="2025"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w:t>
            </w:r>
          </w:p>
        </w:tc>
        <w:tc>
          <w:tcPr>
            <w:tcW w:w="2026" w:type="dxa"/>
            <w:vAlign w:val="center"/>
          </w:tcPr>
          <w:p>
            <w:pPr>
              <w:jc w:val="center"/>
              <w:rPr>
                <w:rFonts w:asciiTheme="minorEastAsia" w:hAnsiTheme="minorEastAsia" w:eastAsiaTheme="minorEastAsia" w:cs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exact"/>
        </w:trPr>
        <w:tc>
          <w:tcPr>
            <w:tcW w:w="814" w:type="dxa"/>
            <w:vAlign w:val="center"/>
          </w:tcPr>
          <w:p>
            <w:pPr>
              <w:jc w:val="center"/>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3</w:t>
            </w:r>
          </w:p>
        </w:tc>
        <w:tc>
          <w:tcPr>
            <w:tcW w:w="3234" w:type="dxa"/>
            <w:vAlign w:val="center"/>
          </w:tcPr>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岗位实习</w:t>
            </w:r>
          </w:p>
        </w:tc>
        <w:tc>
          <w:tcPr>
            <w:tcW w:w="2025" w:type="dxa"/>
            <w:vAlign w:val="center"/>
          </w:tcPr>
          <w:p>
            <w:pPr>
              <w:ind w:firstLine="732" w:firstLineChars="400"/>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540</w:t>
            </w:r>
          </w:p>
        </w:tc>
        <w:tc>
          <w:tcPr>
            <w:tcW w:w="2025" w:type="dxa"/>
            <w:vAlign w:val="center"/>
          </w:tcPr>
          <w:p>
            <w:pPr>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30</w:t>
            </w:r>
          </w:p>
        </w:tc>
        <w:tc>
          <w:tcPr>
            <w:tcW w:w="2025"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5-6</w:t>
            </w:r>
          </w:p>
        </w:tc>
        <w:tc>
          <w:tcPr>
            <w:tcW w:w="2025" w:type="dxa"/>
            <w:vAlign w:val="center"/>
          </w:tcPr>
          <w:p>
            <w:pPr>
              <w:jc w:val="center"/>
              <w:rPr>
                <w:rFonts w:asciiTheme="minorEastAsia" w:hAnsiTheme="minorEastAsia" w:eastAsiaTheme="minorEastAsia" w:cstheme="minorEastAsia"/>
                <w:kern w:val="0"/>
                <w:sz w:val="18"/>
                <w:szCs w:val="18"/>
              </w:rPr>
            </w:pPr>
            <w:r>
              <w:rPr>
                <w:rFonts w:asciiTheme="minorEastAsia" w:hAnsiTheme="minorEastAsia" w:eastAsiaTheme="minorEastAsia" w:cstheme="minorEastAsia"/>
                <w:kern w:val="0"/>
                <w:sz w:val="18"/>
                <w:szCs w:val="18"/>
              </w:rPr>
              <w:t>30</w:t>
            </w:r>
          </w:p>
        </w:tc>
        <w:tc>
          <w:tcPr>
            <w:tcW w:w="2026" w:type="dxa"/>
            <w:vAlign w:val="center"/>
          </w:tcPr>
          <w:p>
            <w:pPr>
              <w:jc w:val="center"/>
              <w:rPr>
                <w:rFonts w:asciiTheme="minorEastAsia" w:hAnsiTheme="minorEastAsia" w:eastAsiaTheme="minorEastAsia" w:cs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14" w:type="dxa"/>
            <w:vAlign w:val="center"/>
          </w:tcPr>
          <w:p>
            <w:pPr>
              <w:jc w:val="center"/>
              <w:rPr>
                <w:rFonts w:asciiTheme="minorEastAsia" w:hAnsiTheme="minorEastAsia" w:eastAsiaTheme="minorEastAsia" w:cstheme="minorEastAsia"/>
                <w:kern w:val="0"/>
                <w:sz w:val="18"/>
                <w:szCs w:val="18"/>
              </w:rPr>
            </w:pPr>
          </w:p>
        </w:tc>
        <w:tc>
          <w:tcPr>
            <w:tcW w:w="3234" w:type="dxa"/>
            <w:vAlign w:val="center"/>
          </w:tcPr>
          <w:p>
            <w:pPr>
              <w:jc w:val="center"/>
              <w:rPr>
                <w:rFonts w:asciiTheme="minorEastAsia" w:hAnsiTheme="minorEastAsia" w:eastAsiaTheme="minorEastAsia" w:cstheme="minorEastAsia"/>
                <w:sz w:val="18"/>
                <w:szCs w:val="18"/>
              </w:rPr>
            </w:pPr>
          </w:p>
        </w:tc>
        <w:tc>
          <w:tcPr>
            <w:tcW w:w="2025" w:type="dxa"/>
            <w:vAlign w:val="center"/>
          </w:tcPr>
          <w:p>
            <w:pPr>
              <w:jc w:val="center"/>
              <w:rPr>
                <w:rFonts w:asciiTheme="minorEastAsia" w:hAnsiTheme="minorEastAsia" w:eastAsiaTheme="minorEastAsia" w:cstheme="minorEastAsia"/>
                <w:sz w:val="18"/>
                <w:szCs w:val="18"/>
              </w:rPr>
            </w:pPr>
          </w:p>
        </w:tc>
        <w:tc>
          <w:tcPr>
            <w:tcW w:w="2025" w:type="dxa"/>
            <w:vAlign w:val="center"/>
          </w:tcPr>
          <w:p>
            <w:pPr>
              <w:jc w:val="center"/>
              <w:rPr>
                <w:rFonts w:asciiTheme="minorEastAsia" w:hAnsiTheme="minorEastAsia" w:eastAsiaTheme="minorEastAsia" w:cstheme="minorEastAsia"/>
                <w:sz w:val="18"/>
                <w:szCs w:val="18"/>
              </w:rPr>
            </w:pPr>
          </w:p>
        </w:tc>
        <w:tc>
          <w:tcPr>
            <w:tcW w:w="2025" w:type="dxa"/>
            <w:vAlign w:val="center"/>
          </w:tcPr>
          <w:p>
            <w:pPr>
              <w:jc w:val="center"/>
              <w:rPr>
                <w:rFonts w:asciiTheme="minorEastAsia" w:hAnsiTheme="minorEastAsia" w:eastAsiaTheme="minorEastAsia" w:cstheme="minorEastAsia"/>
                <w:kern w:val="0"/>
                <w:sz w:val="18"/>
                <w:szCs w:val="18"/>
              </w:rPr>
            </w:pPr>
          </w:p>
        </w:tc>
        <w:tc>
          <w:tcPr>
            <w:tcW w:w="2025" w:type="dxa"/>
            <w:vAlign w:val="center"/>
          </w:tcPr>
          <w:p>
            <w:pPr>
              <w:jc w:val="center"/>
              <w:rPr>
                <w:rFonts w:asciiTheme="minorEastAsia" w:hAnsiTheme="minorEastAsia" w:eastAsiaTheme="minorEastAsia" w:cstheme="minorEastAsia"/>
                <w:kern w:val="0"/>
                <w:sz w:val="18"/>
                <w:szCs w:val="18"/>
              </w:rPr>
            </w:pPr>
          </w:p>
        </w:tc>
        <w:tc>
          <w:tcPr>
            <w:tcW w:w="2026" w:type="dxa"/>
            <w:vAlign w:val="center"/>
          </w:tcPr>
          <w:p>
            <w:pPr>
              <w:jc w:val="center"/>
              <w:rPr>
                <w:rFonts w:asciiTheme="minorEastAsia" w:hAnsiTheme="minorEastAsia" w:eastAsiaTheme="minorEastAsia" w:cstheme="minorEastAsia"/>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814" w:type="dxa"/>
            <w:vAlign w:val="center"/>
          </w:tcPr>
          <w:p>
            <w:pPr>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合计</w:t>
            </w:r>
          </w:p>
        </w:tc>
        <w:tc>
          <w:tcPr>
            <w:tcW w:w="3234" w:type="dxa"/>
            <w:vAlign w:val="center"/>
          </w:tcPr>
          <w:p>
            <w:pPr>
              <w:rPr>
                <w:rFonts w:asciiTheme="minorEastAsia" w:hAnsiTheme="minorEastAsia" w:eastAsiaTheme="minorEastAsia" w:cstheme="minorEastAsia"/>
                <w:sz w:val="18"/>
                <w:szCs w:val="18"/>
              </w:rPr>
            </w:pPr>
          </w:p>
        </w:tc>
        <w:tc>
          <w:tcPr>
            <w:tcW w:w="2025" w:type="dxa"/>
            <w:vAlign w:val="center"/>
          </w:tcPr>
          <w:p>
            <w:pPr>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630</w:t>
            </w:r>
          </w:p>
        </w:tc>
        <w:tc>
          <w:tcPr>
            <w:tcW w:w="2025" w:type="dxa"/>
            <w:vAlign w:val="center"/>
          </w:tcPr>
          <w:p>
            <w:pPr>
              <w:jc w:val="center"/>
              <w:rPr>
                <w:rFonts w:hint="eastAsia" w:asciiTheme="minorEastAsia" w:hAnsiTheme="minorEastAsia" w:eastAsiaTheme="minorEastAsia" w:cstheme="minorEastAsia"/>
                <w:sz w:val="18"/>
                <w:szCs w:val="18"/>
                <w:lang w:val="en-US" w:eastAsia="zh-CN"/>
              </w:rPr>
            </w:pPr>
            <w:r>
              <w:rPr>
                <w:rFonts w:asciiTheme="minorEastAsia" w:hAnsiTheme="minorEastAsia" w:eastAsiaTheme="minorEastAsia" w:cstheme="minorEastAsia"/>
                <w:sz w:val="18"/>
                <w:szCs w:val="18"/>
              </w:rPr>
              <w:t>3</w:t>
            </w:r>
            <w:r>
              <w:rPr>
                <w:rFonts w:hint="eastAsia" w:asciiTheme="minorEastAsia" w:hAnsiTheme="minorEastAsia" w:eastAsiaTheme="minorEastAsia" w:cstheme="minorEastAsia"/>
                <w:sz w:val="18"/>
                <w:szCs w:val="18"/>
                <w:lang w:val="en-US" w:eastAsia="zh-CN"/>
              </w:rPr>
              <w:t>5</w:t>
            </w:r>
          </w:p>
        </w:tc>
        <w:tc>
          <w:tcPr>
            <w:tcW w:w="2025" w:type="dxa"/>
            <w:vAlign w:val="center"/>
          </w:tcPr>
          <w:p>
            <w:pPr>
              <w:jc w:val="center"/>
              <w:rPr>
                <w:rFonts w:asciiTheme="minorEastAsia" w:hAnsiTheme="minorEastAsia" w:eastAsiaTheme="minorEastAsia" w:cstheme="minorEastAsia"/>
                <w:kern w:val="0"/>
                <w:sz w:val="18"/>
                <w:szCs w:val="18"/>
              </w:rPr>
            </w:pPr>
          </w:p>
        </w:tc>
        <w:tc>
          <w:tcPr>
            <w:tcW w:w="2025" w:type="dxa"/>
            <w:vAlign w:val="center"/>
          </w:tcPr>
          <w:p>
            <w:pPr>
              <w:jc w:val="center"/>
              <w:rPr>
                <w:rFonts w:hint="eastAsia" w:asciiTheme="minorEastAsia" w:hAnsiTheme="minorEastAsia" w:eastAsiaTheme="minorEastAsia" w:cstheme="minorEastAsia"/>
                <w:kern w:val="0"/>
                <w:sz w:val="18"/>
                <w:szCs w:val="18"/>
                <w:lang w:val="en-US" w:eastAsia="zh-CN"/>
              </w:rPr>
            </w:pPr>
            <w:r>
              <w:rPr>
                <w:rFonts w:asciiTheme="minorEastAsia" w:hAnsiTheme="minorEastAsia" w:eastAsiaTheme="minorEastAsia" w:cstheme="minorEastAsia"/>
                <w:kern w:val="0"/>
                <w:sz w:val="18"/>
                <w:szCs w:val="18"/>
              </w:rPr>
              <w:t>3</w:t>
            </w:r>
            <w:r>
              <w:rPr>
                <w:rFonts w:hint="eastAsia" w:asciiTheme="minorEastAsia" w:hAnsiTheme="minorEastAsia" w:eastAsiaTheme="minorEastAsia" w:cstheme="minorEastAsia"/>
                <w:kern w:val="0"/>
                <w:sz w:val="18"/>
                <w:szCs w:val="18"/>
                <w:lang w:val="en-US" w:eastAsia="zh-CN"/>
              </w:rPr>
              <w:t>5</w:t>
            </w:r>
          </w:p>
        </w:tc>
        <w:tc>
          <w:tcPr>
            <w:tcW w:w="2026" w:type="dxa"/>
            <w:vAlign w:val="center"/>
          </w:tcPr>
          <w:p>
            <w:pPr>
              <w:jc w:val="center"/>
              <w:rPr>
                <w:rFonts w:asciiTheme="minorEastAsia" w:hAnsiTheme="minorEastAsia" w:eastAsiaTheme="minorEastAsia" w:cstheme="minorEastAsia"/>
                <w:kern w:val="0"/>
                <w:sz w:val="18"/>
                <w:szCs w:val="18"/>
              </w:rPr>
            </w:pPr>
          </w:p>
        </w:tc>
      </w:tr>
    </w:tbl>
    <w:p>
      <w:pPr>
        <w:sectPr>
          <w:footerReference r:id="rId10" w:type="default"/>
          <w:pgSz w:w="16838" w:h="11906" w:orient="landscape"/>
          <w:pgMar w:top="1797" w:right="1440" w:bottom="1797" w:left="1440" w:header="851" w:footer="992" w:gutter="0"/>
          <w:cols w:space="720" w:num="1"/>
          <w:docGrid w:type="linesAndChars" w:linePitch="319" w:charSpace="640"/>
        </w:sectPr>
      </w:pPr>
    </w:p>
    <w:p>
      <w:pPr>
        <w:adjustRightInd w:val="0"/>
        <w:snapToGrid w:val="0"/>
        <w:spacing w:line="360" w:lineRule="auto"/>
        <w:rPr>
          <w:rFonts w:eastAsiaTheme="minorEastAsia"/>
        </w:rPr>
      </w:pPr>
    </w:p>
    <w:p>
      <w:pPr>
        <w:bidi w:val="0"/>
        <w:rPr>
          <w:rFonts w:ascii="等线" w:hAnsi="等线" w:eastAsia="等线" w:cs="Times New Roman"/>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5146"/>
        </w:tabs>
        <w:bidi w:val="0"/>
        <w:jc w:val="left"/>
        <w:rPr>
          <w:lang w:val="en-US" w:eastAsia="zh-CN"/>
        </w:rPr>
      </w:pPr>
      <w:r>
        <w:rPr>
          <w:rFonts w:hint="eastAsia"/>
          <w:lang w:val="en-US" w:eastAsia="zh-CN"/>
        </w:rPr>
        <w:tab/>
      </w:r>
      <w:bookmarkStart w:id="74" w:name="_GoBack"/>
      <w:bookmarkEnd w:id="74"/>
    </w:p>
    <w:sectPr>
      <w:footerReference r:id="rId11" w:type="default"/>
      <w:pgSz w:w="11906" w:h="16838"/>
      <w:pgMar w:top="1440" w:right="1797" w:bottom="1440" w:left="1797" w:header="851" w:footer="992" w:gutter="0"/>
      <w:cols w:space="720" w:num="1"/>
      <w:docGrid w:type="linesAndChars" w:linePitch="319"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E8EE23-E609-453D-9194-445BD0D538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0084EEB-41ED-45C7-88F0-B8134606C221}"/>
  </w:font>
  <w:font w:name="等线">
    <w:panose1 w:val="02010600030101010101"/>
    <w:charset w:val="86"/>
    <w:family w:val="auto"/>
    <w:pitch w:val="default"/>
    <w:sig w:usb0="A00002BF" w:usb1="38CF7CFA" w:usb2="00000016" w:usb3="00000000" w:csb0="0004000F" w:csb1="00000000"/>
    <w:embedRegular r:id="rId3" w:fontKey="{EADE2EC2-027D-4373-B360-918A0AB99D77}"/>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方正大标宋简体">
    <w:panose1 w:val="02000000000000000000"/>
    <w:charset w:val="86"/>
    <w:family w:val="auto"/>
    <w:pitch w:val="default"/>
    <w:sig w:usb0="A00002BF" w:usb1="184F6CFA" w:usb2="00000012" w:usb3="00000000" w:csb0="00040001" w:csb1="00000000"/>
    <w:embedRegular r:id="rId4" w:fontKey="{3CCB10F6-2912-4CFA-93E1-9B55DEAE2F58}"/>
  </w:font>
  <w:font w:name="方正大黑简体">
    <w:panose1 w:val="02000000000000000000"/>
    <w:charset w:val="86"/>
    <w:family w:val="auto"/>
    <w:pitch w:val="default"/>
    <w:sig w:usb0="A00002BF" w:usb1="184F6CFA" w:usb2="00000012" w:usb3="00000000" w:csb0="00040001" w:csb1="00000000"/>
    <w:embedRegular r:id="rId5" w:fontKey="{5DE8BC3E-E6B1-4109-8E34-06505AB65D5D}"/>
  </w:font>
  <w:font w:name="仿宋">
    <w:panose1 w:val="02010609060101010101"/>
    <w:charset w:val="86"/>
    <w:family w:val="auto"/>
    <w:pitch w:val="default"/>
    <w:sig w:usb0="800002BF" w:usb1="38CF7CFA" w:usb2="00000016" w:usb3="00000000" w:csb0="00040001" w:csb1="00000000"/>
    <w:embedRegular r:id="rId6" w:fontKey="{F545ECD3-79C5-4DDB-AF51-806508BC2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等线"/>
                            </w:rPr>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6"/>
                      <w:rPr>
                        <w:rFonts w:eastAsia="等线"/>
                      </w:rPr>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v:textbox>
            </v:shape>
          </w:pict>
        </mc:Fallback>
      </mc:AlternateConten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eastAsia="等线"/>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PUBZcQBAACQ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Wt1k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yPUBZcQBAACQAwAADgAAAAAAAAABACAAAAAeAQAAZHJzL2Uyb0RvYy54bWxQ&#10;SwUGAAAAAAYABgBZAQAAVAUAAAAA&#10;">
              <v:fill on="f" focussize="0,0"/>
              <v:stroke on="f"/>
              <v:imagedata o:title=""/>
              <o:lock v:ext="edit" aspectratio="f"/>
              <v:textbox inset="0mm,0mm,0mm,0mm" style="mso-fit-shape-to-text:t;">
                <w:txbxContent>
                  <w:p>
                    <w:pPr>
                      <w:pStyle w:val="6"/>
                      <w:rPr>
                        <w:rFonts w:eastAsia="等线"/>
                      </w:rP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mc:Fallback>
      </mc:AlternateContent>
    </w:r>
  </w:p>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eastAsia="等线"/>
                            </w:rPr>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z96sQBAACQ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hPRq4B4c0xYeHST0YdoaZiOKjCaFqqvAmP7yXr4Ufa/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XBz96sQBAACQAwAADgAAAAAAAAABACAAAAAeAQAAZHJzL2Uyb0RvYy54bWxQ&#10;SwUGAAAAAAYABgBZAQAAVAUAAAAA&#10;">
              <v:fill on="f" focussize="0,0"/>
              <v:stroke on="f"/>
              <v:imagedata o:title=""/>
              <o:lock v:ext="edit" aspectratio="f"/>
              <v:textbox inset="0mm,0mm,0mm,0mm" style="mso-fit-shape-to-text:t;">
                <w:txbxContent>
                  <w:p>
                    <w:pPr>
                      <w:pStyle w:val="6"/>
                      <w:rPr>
                        <w:rFonts w:eastAsia="等线"/>
                      </w:rPr>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both"/>
    </w:pPr>
    <w:r>
      <w:drawing>
        <wp:inline distT="0" distB="0" distL="114300" distR="114300">
          <wp:extent cx="2058670" cy="285750"/>
          <wp:effectExtent l="0" t="0" r="13970"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学前教育专业人才培养方案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drawing>
        <wp:inline distT="0" distB="0" distL="114300" distR="114300">
          <wp:extent cx="2058670" cy="285750"/>
          <wp:effectExtent l="0" t="0" r="17780" b="0"/>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学前教育专业人才培养方案</w:t>
    </w:r>
  </w:p>
  <w:p>
    <w:pPr>
      <w:pStyle w:val="7"/>
      <w:pBdr>
        <w:bottom w:val="single" w:color="auto" w:sz="4" w:space="1"/>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pPr>
    <w:r>
      <w:drawing>
        <wp:inline distT="0" distB="0" distL="114300" distR="114300">
          <wp:extent cx="2058670" cy="285750"/>
          <wp:effectExtent l="0" t="0" r="17780" b="0"/>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学前教育专业人才培养方案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FF9F24"/>
    <w:multiLevelType w:val="singleLevel"/>
    <w:tmpl w:val="20FF9F2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0"/>
  <w:drawingGridVerticalSpacing w:val="319"/>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hOGFhNjAyNWZjYzBlYTc2ZjkwNGEwZGZjM2VmMTMifQ=="/>
  </w:docVars>
  <w:rsids>
    <w:rsidRoot w:val="000F331E"/>
    <w:rsid w:val="000558DE"/>
    <w:rsid w:val="000B306E"/>
    <w:rsid w:val="000B6981"/>
    <w:rsid w:val="000D6584"/>
    <w:rsid w:val="000F1ED6"/>
    <w:rsid w:val="000F331E"/>
    <w:rsid w:val="00121193"/>
    <w:rsid w:val="00133814"/>
    <w:rsid w:val="00170392"/>
    <w:rsid w:val="0018495D"/>
    <w:rsid w:val="001B3E88"/>
    <w:rsid w:val="001D60FC"/>
    <w:rsid w:val="00206923"/>
    <w:rsid w:val="00340372"/>
    <w:rsid w:val="0037753D"/>
    <w:rsid w:val="00380CD0"/>
    <w:rsid w:val="003B6087"/>
    <w:rsid w:val="00420E7E"/>
    <w:rsid w:val="00475AA3"/>
    <w:rsid w:val="00482876"/>
    <w:rsid w:val="004A01F7"/>
    <w:rsid w:val="004A41B3"/>
    <w:rsid w:val="00506680"/>
    <w:rsid w:val="005B6DEF"/>
    <w:rsid w:val="005F4B23"/>
    <w:rsid w:val="00600209"/>
    <w:rsid w:val="00631034"/>
    <w:rsid w:val="00643AED"/>
    <w:rsid w:val="006D717D"/>
    <w:rsid w:val="006D7BD8"/>
    <w:rsid w:val="00704632"/>
    <w:rsid w:val="007209E1"/>
    <w:rsid w:val="00777998"/>
    <w:rsid w:val="0079688E"/>
    <w:rsid w:val="007A71D0"/>
    <w:rsid w:val="007C6AAB"/>
    <w:rsid w:val="00802E5C"/>
    <w:rsid w:val="008B6674"/>
    <w:rsid w:val="008E139A"/>
    <w:rsid w:val="00914EB5"/>
    <w:rsid w:val="0092039E"/>
    <w:rsid w:val="0093168F"/>
    <w:rsid w:val="00963116"/>
    <w:rsid w:val="00997EDB"/>
    <w:rsid w:val="009E0B3C"/>
    <w:rsid w:val="00B87511"/>
    <w:rsid w:val="00B96E26"/>
    <w:rsid w:val="00BD2F01"/>
    <w:rsid w:val="00BD6309"/>
    <w:rsid w:val="00C01A49"/>
    <w:rsid w:val="00C20C68"/>
    <w:rsid w:val="00C23F2E"/>
    <w:rsid w:val="00C349D4"/>
    <w:rsid w:val="00CA787B"/>
    <w:rsid w:val="00D05204"/>
    <w:rsid w:val="00D06977"/>
    <w:rsid w:val="00D5556E"/>
    <w:rsid w:val="00D57109"/>
    <w:rsid w:val="00DB34D8"/>
    <w:rsid w:val="00DC7D4F"/>
    <w:rsid w:val="00E92CE9"/>
    <w:rsid w:val="00EE13A2"/>
    <w:rsid w:val="00F21E3E"/>
    <w:rsid w:val="00F509AE"/>
    <w:rsid w:val="00F63D94"/>
    <w:rsid w:val="00F7107A"/>
    <w:rsid w:val="00F774B3"/>
    <w:rsid w:val="00F85EFC"/>
    <w:rsid w:val="00FA2A12"/>
    <w:rsid w:val="00FA763D"/>
    <w:rsid w:val="00FA7D72"/>
    <w:rsid w:val="00FB5F78"/>
    <w:rsid w:val="015A6E1C"/>
    <w:rsid w:val="01830D99"/>
    <w:rsid w:val="019911B7"/>
    <w:rsid w:val="01D83A46"/>
    <w:rsid w:val="01F644A5"/>
    <w:rsid w:val="024C2535"/>
    <w:rsid w:val="03C51ACC"/>
    <w:rsid w:val="04E42201"/>
    <w:rsid w:val="05B85A28"/>
    <w:rsid w:val="07614872"/>
    <w:rsid w:val="07A6651C"/>
    <w:rsid w:val="07F04F23"/>
    <w:rsid w:val="08424B13"/>
    <w:rsid w:val="09564C0F"/>
    <w:rsid w:val="09EC3CAE"/>
    <w:rsid w:val="0A463602"/>
    <w:rsid w:val="0A8A6365"/>
    <w:rsid w:val="0B5D2FC9"/>
    <w:rsid w:val="0C363542"/>
    <w:rsid w:val="0CC25292"/>
    <w:rsid w:val="0DB809CC"/>
    <w:rsid w:val="0E2E715A"/>
    <w:rsid w:val="0E625619"/>
    <w:rsid w:val="0F017A3C"/>
    <w:rsid w:val="0FE66647"/>
    <w:rsid w:val="10B867EA"/>
    <w:rsid w:val="114757E7"/>
    <w:rsid w:val="11BA08C7"/>
    <w:rsid w:val="11FB6881"/>
    <w:rsid w:val="125B1D6F"/>
    <w:rsid w:val="12CC00E1"/>
    <w:rsid w:val="134977CB"/>
    <w:rsid w:val="13D71C6A"/>
    <w:rsid w:val="140C70CA"/>
    <w:rsid w:val="14E46E18"/>
    <w:rsid w:val="15095C87"/>
    <w:rsid w:val="15CA5E3E"/>
    <w:rsid w:val="160940CF"/>
    <w:rsid w:val="16271D57"/>
    <w:rsid w:val="16A02476"/>
    <w:rsid w:val="16A5362F"/>
    <w:rsid w:val="16BB0EEF"/>
    <w:rsid w:val="17243C5A"/>
    <w:rsid w:val="17A51F16"/>
    <w:rsid w:val="183D4721"/>
    <w:rsid w:val="187A7F4E"/>
    <w:rsid w:val="1AB8095B"/>
    <w:rsid w:val="1BBA7ACA"/>
    <w:rsid w:val="1C0B5019"/>
    <w:rsid w:val="1C7644D2"/>
    <w:rsid w:val="1C9F4D95"/>
    <w:rsid w:val="1CA81451"/>
    <w:rsid w:val="1CBA78D9"/>
    <w:rsid w:val="1DED3AE7"/>
    <w:rsid w:val="1EC05C1F"/>
    <w:rsid w:val="1F4A5DB3"/>
    <w:rsid w:val="20FF5FAD"/>
    <w:rsid w:val="21A51028"/>
    <w:rsid w:val="21B167AB"/>
    <w:rsid w:val="21C90628"/>
    <w:rsid w:val="226C3AC9"/>
    <w:rsid w:val="230F7657"/>
    <w:rsid w:val="23CF7C9A"/>
    <w:rsid w:val="23FC5D5D"/>
    <w:rsid w:val="24177D33"/>
    <w:rsid w:val="24C428AC"/>
    <w:rsid w:val="24FE481F"/>
    <w:rsid w:val="258E50DA"/>
    <w:rsid w:val="25CC04B3"/>
    <w:rsid w:val="25F964E5"/>
    <w:rsid w:val="27980BA3"/>
    <w:rsid w:val="27A26DBD"/>
    <w:rsid w:val="27F256C4"/>
    <w:rsid w:val="2874680A"/>
    <w:rsid w:val="29A54BAF"/>
    <w:rsid w:val="2A332AF1"/>
    <w:rsid w:val="2A597BD9"/>
    <w:rsid w:val="2BC50F9A"/>
    <w:rsid w:val="2BD92398"/>
    <w:rsid w:val="2CCB126A"/>
    <w:rsid w:val="2CE65DF7"/>
    <w:rsid w:val="2D152078"/>
    <w:rsid w:val="2DB534E9"/>
    <w:rsid w:val="2DD2357F"/>
    <w:rsid w:val="2F0E027B"/>
    <w:rsid w:val="2FED4C47"/>
    <w:rsid w:val="300E10B2"/>
    <w:rsid w:val="309401AF"/>
    <w:rsid w:val="30964AD0"/>
    <w:rsid w:val="31D1438F"/>
    <w:rsid w:val="32156571"/>
    <w:rsid w:val="321F56CC"/>
    <w:rsid w:val="32F5426B"/>
    <w:rsid w:val="333116B4"/>
    <w:rsid w:val="3476514A"/>
    <w:rsid w:val="348128F9"/>
    <w:rsid w:val="34D50557"/>
    <w:rsid w:val="355C15D6"/>
    <w:rsid w:val="36EB5AA2"/>
    <w:rsid w:val="376312C2"/>
    <w:rsid w:val="38A5656B"/>
    <w:rsid w:val="39454B66"/>
    <w:rsid w:val="39C653D0"/>
    <w:rsid w:val="39DB36E2"/>
    <w:rsid w:val="3A18015E"/>
    <w:rsid w:val="3A8C7386"/>
    <w:rsid w:val="3B827859"/>
    <w:rsid w:val="3B8F5C89"/>
    <w:rsid w:val="3C37306D"/>
    <w:rsid w:val="3C374C21"/>
    <w:rsid w:val="3C485B8B"/>
    <w:rsid w:val="3D407839"/>
    <w:rsid w:val="3E941DD6"/>
    <w:rsid w:val="3F023A7F"/>
    <w:rsid w:val="3F52732D"/>
    <w:rsid w:val="3F95704B"/>
    <w:rsid w:val="3F9F3B75"/>
    <w:rsid w:val="3FB51A4C"/>
    <w:rsid w:val="3FC424FD"/>
    <w:rsid w:val="4076530B"/>
    <w:rsid w:val="40870681"/>
    <w:rsid w:val="40F35CC9"/>
    <w:rsid w:val="42197240"/>
    <w:rsid w:val="427573EC"/>
    <w:rsid w:val="429C278D"/>
    <w:rsid w:val="42DC0504"/>
    <w:rsid w:val="42FB2F99"/>
    <w:rsid w:val="43F949BF"/>
    <w:rsid w:val="441048B3"/>
    <w:rsid w:val="44FB69B5"/>
    <w:rsid w:val="453E51C6"/>
    <w:rsid w:val="45BC6947"/>
    <w:rsid w:val="45E006F8"/>
    <w:rsid w:val="46D11EEF"/>
    <w:rsid w:val="47074F65"/>
    <w:rsid w:val="47E77AE0"/>
    <w:rsid w:val="48E84CE3"/>
    <w:rsid w:val="4A304B2F"/>
    <w:rsid w:val="4C0369B2"/>
    <w:rsid w:val="4C66624A"/>
    <w:rsid w:val="4CA53632"/>
    <w:rsid w:val="4DC06849"/>
    <w:rsid w:val="4E5324D7"/>
    <w:rsid w:val="4E7E6C79"/>
    <w:rsid w:val="4E824A50"/>
    <w:rsid w:val="4E8D3146"/>
    <w:rsid w:val="4EA724C4"/>
    <w:rsid w:val="4EAF12B7"/>
    <w:rsid w:val="50BF1EE0"/>
    <w:rsid w:val="511368B1"/>
    <w:rsid w:val="511573C8"/>
    <w:rsid w:val="523E5F46"/>
    <w:rsid w:val="52A2413D"/>
    <w:rsid w:val="54906F5F"/>
    <w:rsid w:val="555C7B5A"/>
    <w:rsid w:val="55AB5A39"/>
    <w:rsid w:val="589005DD"/>
    <w:rsid w:val="58FA7DB6"/>
    <w:rsid w:val="59771769"/>
    <w:rsid w:val="59D014D1"/>
    <w:rsid w:val="59F00C69"/>
    <w:rsid w:val="5A1F1F8E"/>
    <w:rsid w:val="5B143480"/>
    <w:rsid w:val="5CD44133"/>
    <w:rsid w:val="5D1F250C"/>
    <w:rsid w:val="5D441D68"/>
    <w:rsid w:val="5E7B13CD"/>
    <w:rsid w:val="5EBD73B5"/>
    <w:rsid w:val="5ED304D1"/>
    <w:rsid w:val="5F1A47F1"/>
    <w:rsid w:val="5F642CD9"/>
    <w:rsid w:val="5F89373B"/>
    <w:rsid w:val="60CF32AC"/>
    <w:rsid w:val="61EA029E"/>
    <w:rsid w:val="61F318F2"/>
    <w:rsid w:val="628552F2"/>
    <w:rsid w:val="629E2D36"/>
    <w:rsid w:val="630A6D1C"/>
    <w:rsid w:val="6315768A"/>
    <w:rsid w:val="63FA644C"/>
    <w:rsid w:val="63FC657B"/>
    <w:rsid w:val="64972AF1"/>
    <w:rsid w:val="64D15F5B"/>
    <w:rsid w:val="65575785"/>
    <w:rsid w:val="66247804"/>
    <w:rsid w:val="6798583F"/>
    <w:rsid w:val="69174B76"/>
    <w:rsid w:val="694348A1"/>
    <w:rsid w:val="6A4117D9"/>
    <w:rsid w:val="6A7D092F"/>
    <w:rsid w:val="6B8918E1"/>
    <w:rsid w:val="6BA27884"/>
    <w:rsid w:val="6BC3535F"/>
    <w:rsid w:val="6BE51EEC"/>
    <w:rsid w:val="6C0878B4"/>
    <w:rsid w:val="6C5B6723"/>
    <w:rsid w:val="6C6D0C12"/>
    <w:rsid w:val="6CB12A1C"/>
    <w:rsid w:val="6D605A8E"/>
    <w:rsid w:val="6E1520D7"/>
    <w:rsid w:val="6E741227"/>
    <w:rsid w:val="6EA7006F"/>
    <w:rsid w:val="6EB046AE"/>
    <w:rsid w:val="6F067118"/>
    <w:rsid w:val="703538B5"/>
    <w:rsid w:val="70C36EE5"/>
    <w:rsid w:val="71C532C6"/>
    <w:rsid w:val="71EF7D06"/>
    <w:rsid w:val="71FA19D7"/>
    <w:rsid w:val="721C47A2"/>
    <w:rsid w:val="734C1BB6"/>
    <w:rsid w:val="735043E9"/>
    <w:rsid w:val="74872679"/>
    <w:rsid w:val="75493CFC"/>
    <w:rsid w:val="75B800AF"/>
    <w:rsid w:val="766308F1"/>
    <w:rsid w:val="775141D9"/>
    <w:rsid w:val="775C7263"/>
    <w:rsid w:val="787E2EBC"/>
    <w:rsid w:val="788168DE"/>
    <w:rsid w:val="789526A1"/>
    <w:rsid w:val="79744742"/>
    <w:rsid w:val="79C05128"/>
    <w:rsid w:val="7A105750"/>
    <w:rsid w:val="7A1C6A21"/>
    <w:rsid w:val="7AE954E7"/>
    <w:rsid w:val="7B863AD6"/>
    <w:rsid w:val="7B95687A"/>
    <w:rsid w:val="7EB51DFB"/>
    <w:rsid w:val="7EBF244F"/>
    <w:rsid w:val="7F040AD4"/>
    <w:rsid w:val="7F1E6837"/>
    <w:rsid w:val="7F25708B"/>
    <w:rsid w:val="7F973834"/>
    <w:rsid w:val="7FE91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82"/>
    <w:qFormat/>
    <w:locked/>
    <w:uiPriority w:val="0"/>
    <w:pPr>
      <w:keepNext/>
      <w:keepLines/>
      <w:spacing w:line="240" w:lineRule="atLeast"/>
      <w:outlineLvl w:val="0"/>
    </w:pPr>
    <w:rPr>
      <w:rFonts w:ascii="Times New Roman" w:hAnsi="Times New Roman" w:eastAsia="黑体"/>
      <w:b/>
      <w:bCs/>
      <w:kern w:val="44"/>
      <w:sz w:val="28"/>
      <w:szCs w:val="44"/>
    </w:rPr>
  </w:style>
  <w:style w:type="paragraph" w:styleId="3">
    <w:name w:val="heading 2"/>
    <w:basedOn w:val="1"/>
    <w:next w:val="1"/>
    <w:unhideWhenUsed/>
    <w:qFormat/>
    <w:locked/>
    <w:uiPriority w:val="0"/>
    <w:pPr>
      <w:keepNext/>
      <w:keepLines/>
      <w:spacing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unhideWhenUsed/>
    <w:qFormat/>
    <w:uiPriority w:val="99"/>
    <w:pPr>
      <w:spacing w:after="120"/>
      <w:ind w:left="420" w:leftChars="200"/>
    </w:pPr>
  </w:style>
  <w:style w:type="paragraph" w:styleId="5">
    <w:name w:val="Balloon Text"/>
    <w:basedOn w:val="1"/>
    <w:link w:val="81"/>
    <w:semiHidden/>
    <w:qFormat/>
    <w:uiPriority w:val="99"/>
    <w:rPr>
      <w:rFonts w:ascii="Times New Roman" w:hAnsi="Times New Roman" w:eastAsia="宋体"/>
      <w:kern w:val="0"/>
      <w:sz w:val="18"/>
      <w:szCs w:val="18"/>
    </w:rPr>
  </w:style>
  <w:style w:type="paragraph" w:styleId="6">
    <w:name w:val="footer"/>
    <w:basedOn w:val="1"/>
    <w:link w:val="80"/>
    <w:qFormat/>
    <w:uiPriority w:val="99"/>
    <w:pPr>
      <w:tabs>
        <w:tab w:val="center" w:pos="4153"/>
        <w:tab w:val="right" w:pos="8306"/>
      </w:tabs>
      <w:snapToGrid w:val="0"/>
      <w:jc w:val="left"/>
    </w:pPr>
    <w:rPr>
      <w:rFonts w:ascii="Times New Roman" w:hAnsi="Times New Roman" w:eastAsia="宋体"/>
      <w:kern w:val="0"/>
      <w:sz w:val="18"/>
      <w:szCs w:val="18"/>
    </w:rPr>
  </w:style>
  <w:style w:type="paragraph" w:styleId="7">
    <w:name w:val="header"/>
    <w:basedOn w:val="1"/>
    <w:link w:val="79"/>
    <w:qFormat/>
    <w:uiPriority w:val="99"/>
    <w:pPr>
      <w:pBdr>
        <w:bottom w:val="single" w:color="auto" w:sz="6" w:space="1"/>
      </w:pBdr>
      <w:tabs>
        <w:tab w:val="center" w:pos="4153"/>
        <w:tab w:val="right" w:pos="8306"/>
      </w:tabs>
      <w:snapToGrid w:val="0"/>
      <w:jc w:val="center"/>
    </w:pPr>
    <w:rPr>
      <w:rFonts w:ascii="Times New Roman" w:hAnsi="Times New Roman" w:eastAsia="宋体"/>
      <w:kern w:val="0"/>
      <w:sz w:val="18"/>
      <w:szCs w:val="18"/>
    </w:rPr>
  </w:style>
  <w:style w:type="paragraph" w:styleId="8">
    <w:name w:val="toc 1"/>
    <w:basedOn w:val="1"/>
    <w:next w:val="1"/>
    <w:qFormat/>
    <w:locked/>
    <w:uiPriority w:val="39"/>
  </w:style>
  <w:style w:type="paragraph" w:styleId="9">
    <w:name w:val="toc 2"/>
    <w:basedOn w:val="1"/>
    <w:next w:val="1"/>
    <w:qFormat/>
    <w:locked/>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unhideWhenUsed/>
    <w:qFormat/>
    <w:uiPriority w:val="99"/>
  </w:style>
  <w:style w:type="character" w:styleId="15">
    <w:name w:val="FollowedHyperlink"/>
    <w:semiHidden/>
    <w:unhideWhenUsed/>
    <w:qFormat/>
    <w:uiPriority w:val="99"/>
    <w:rPr>
      <w:color w:val="800080"/>
      <w:u w:val="single"/>
    </w:rPr>
  </w:style>
  <w:style w:type="character" w:styleId="16">
    <w:name w:val="Hyperlink"/>
    <w:unhideWhenUsed/>
    <w:qFormat/>
    <w:uiPriority w:val="99"/>
    <w:rPr>
      <w:color w:val="0000FF"/>
      <w:u w:val="single"/>
    </w:rPr>
  </w:style>
  <w:style w:type="paragraph" w:customStyle="1" w:styleId="17">
    <w:name w:val="font5"/>
    <w:basedOn w:val="1"/>
    <w:qFormat/>
    <w:uiPriority w:val="0"/>
    <w:pPr>
      <w:widowControl/>
      <w:spacing w:before="100" w:beforeAutospacing="1" w:after="100" w:afterAutospacing="1"/>
      <w:jc w:val="left"/>
    </w:pPr>
    <w:rPr>
      <w:rFonts w:cs="宋体"/>
      <w:kern w:val="0"/>
      <w:sz w:val="20"/>
      <w:szCs w:val="20"/>
    </w:rPr>
  </w:style>
  <w:style w:type="paragraph" w:customStyle="1" w:styleId="18">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9">
    <w:name w:val="font7"/>
    <w:basedOn w:val="1"/>
    <w:qFormat/>
    <w:uiPriority w:val="0"/>
    <w:pPr>
      <w:widowControl/>
      <w:spacing w:before="100" w:beforeAutospacing="1" w:after="100" w:afterAutospacing="1"/>
      <w:jc w:val="left"/>
    </w:pPr>
    <w:rPr>
      <w:rFonts w:cs="宋体"/>
      <w:kern w:val="0"/>
      <w:sz w:val="20"/>
      <w:szCs w:val="20"/>
    </w:rPr>
  </w:style>
  <w:style w:type="paragraph" w:customStyle="1" w:styleId="20">
    <w:name w:val="font8"/>
    <w:basedOn w:val="1"/>
    <w:qFormat/>
    <w:uiPriority w:val="0"/>
    <w:pPr>
      <w:widowControl/>
      <w:spacing w:before="100" w:beforeAutospacing="1" w:after="100" w:afterAutospacing="1"/>
      <w:jc w:val="left"/>
    </w:pPr>
    <w:rPr>
      <w:rFonts w:cs="宋体"/>
      <w:color w:val="FF0000"/>
      <w:kern w:val="0"/>
      <w:sz w:val="24"/>
      <w:szCs w:val="24"/>
    </w:rPr>
  </w:style>
  <w:style w:type="paragraph" w:customStyle="1" w:styleId="21">
    <w:name w:val="font9"/>
    <w:basedOn w:val="1"/>
    <w:qFormat/>
    <w:uiPriority w:val="0"/>
    <w:pPr>
      <w:widowControl/>
      <w:spacing w:before="100" w:beforeAutospacing="1" w:after="100" w:afterAutospacing="1"/>
      <w:jc w:val="left"/>
    </w:pPr>
    <w:rPr>
      <w:rFonts w:cs="宋体"/>
      <w:color w:val="FF0000"/>
      <w:kern w:val="0"/>
      <w:sz w:val="20"/>
      <w:szCs w:val="20"/>
    </w:rPr>
  </w:style>
  <w:style w:type="paragraph" w:customStyle="1" w:styleId="22">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2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24">
    <w:name w:val="xl70"/>
    <w:basedOn w:val="1"/>
    <w:qFormat/>
    <w:uiPriority w:val="0"/>
    <w:pPr>
      <w:widowControl/>
      <w:shd w:val="clear" w:color="000000" w:fill="FFFFFF"/>
      <w:spacing w:before="100" w:beforeAutospacing="1" w:after="100" w:afterAutospacing="1"/>
      <w:jc w:val="left"/>
    </w:pPr>
    <w:rPr>
      <w:rFonts w:ascii="宋体" w:hAnsi="宋体" w:eastAsia="宋体" w:cs="宋体"/>
      <w:kern w:val="0"/>
      <w:sz w:val="24"/>
      <w:szCs w:val="24"/>
    </w:rPr>
  </w:style>
  <w:style w:type="paragraph" w:customStyle="1" w:styleId="25">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2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2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28">
    <w:name w:val="xl74"/>
    <w:basedOn w:val="1"/>
    <w:qFormat/>
    <w:uiPriority w:val="0"/>
    <w:pPr>
      <w:widowControl/>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29">
    <w:name w:val="xl75"/>
    <w:basedOn w:val="1"/>
    <w:qFormat/>
    <w:uiPriority w:val="0"/>
    <w:pPr>
      <w:widowControl/>
      <w:shd w:val="clear" w:color="000000" w:fill="FFFFFF"/>
      <w:spacing w:before="100" w:beforeAutospacing="1" w:after="100" w:afterAutospacing="1"/>
      <w:jc w:val="left"/>
    </w:pPr>
    <w:rPr>
      <w:rFonts w:ascii="宋体" w:hAnsi="宋体" w:eastAsia="宋体" w:cs="宋体"/>
      <w:kern w:val="0"/>
      <w:sz w:val="20"/>
      <w:szCs w:val="20"/>
    </w:rPr>
  </w:style>
  <w:style w:type="paragraph" w:customStyle="1" w:styleId="30">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18"/>
      <w:szCs w:val="18"/>
    </w:rPr>
  </w:style>
  <w:style w:type="paragraph" w:customStyle="1" w:styleId="31">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24"/>
      <w:szCs w:val="24"/>
    </w:rPr>
  </w:style>
  <w:style w:type="paragraph" w:customStyle="1" w:styleId="32">
    <w:name w:val="xl7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3">
    <w:name w:val="xl7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4">
    <w:name w:val="xl8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5">
    <w:name w:val="xl8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36">
    <w:name w:val="xl82"/>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7">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8">
    <w:name w:val="xl8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39">
    <w:name w:val="xl85"/>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40">
    <w:name w:val="xl8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4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42">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6"/>
      <w:szCs w:val="26"/>
    </w:rPr>
  </w:style>
  <w:style w:type="paragraph" w:customStyle="1" w:styleId="43">
    <w:name w:val="xl89"/>
    <w:basedOn w:val="1"/>
    <w:qFormat/>
    <w:uiPriority w:val="0"/>
    <w:pPr>
      <w:widowControl/>
      <w:pBdr>
        <w:top w:val="single" w:color="auto" w:sz="4" w:space="0"/>
        <w:left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44">
    <w:name w:val="xl90"/>
    <w:basedOn w:val="1"/>
    <w:qFormat/>
    <w:uiPriority w:val="0"/>
    <w:pPr>
      <w:widowControl/>
      <w:pBdr>
        <w:top w:val="single" w:color="auto" w:sz="4" w:space="0"/>
      </w:pBdr>
      <w:shd w:val="clear" w:color="000000" w:fill="FFFFFF"/>
      <w:spacing w:before="100" w:beforeAutospacing="1" w:after="100" w:afterAutospacing="1"/>
      <w:jc w:val="center"/>
    </w:pPr>
    <w:rPr>
      <w:rFonts w:cs="宋体"/>
      <w:kern w:val="0"/>
      <w:sz w:val="20"/>
      <w:szCs w:val="20"/>
    </w:rPr>
  </w:style>
  <w:style w:type="paragraph" w:customStyle="1" w:styleId="45">
    <w:name w:val="xl9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cs="宋体"/>
      <w:color w:val="000000"/>
      <w:kern w:val="0"/>
      <w:sz w:val="18"/>
      <w:szCs w:val="18"/>
    </w:rPr>
  </w:style>
  <w:style w:type="paragraph" w:customStyle="1" w:styleId="4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 w:val="20"/>
      <w:szCs w:val="20"/>
    </w:rPr>
  </w:style>
  <w:style w:type="paragraph" w:customStyle="1" w:styleId="4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 w:val="18"/>
      <w:szCs w:val="18"/>
    </w:rPr>
  </w:style>
  <w:style w:type="paragraph" w:customStyle="1" w:styleId="49">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Cs w:val="21"/>
    </w:rPr>
  </w:style>
  <w:style w:type="paragraph" w:customStyle="1" w:styleId="50">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FF0000"/>
      <w:kern w:val="0"/>
      <w:sz w:val="18"/>
      <w:szCs w:val="18"/>
    </w:rPr>
  </w:style>
  <w:style w:type="paragraph" w:customStyle="1" w:styleId="51">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color w:val="000000"/>
      <w:kern w:val="0"/>
      <w:sz w:val="20"/>
      <w:szCs w:val="20"/>
    </w:rPr>
  </w:style>
  <w:style w:type="paragraph" w:customStyle="1" w:styleId="52">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18"/>
      <w:szCs w:val="18"/>
    </w:rPr>
  </w:style>
  <w:style w:type="paragraph" w:customStyle="1" w:styleId="53">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55">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20"/>
      <w:szCs w:val="20"/>
    </w:rPr>
  </w:style>
  <w:style w:type="paragraph" w:customStyle="1" w:styleId="56">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5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58">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b/>
      <w:bCs/>
      <w:color w:val="000000"/>
      <w:kern w:val="0"/>
      <w:sz w:val="20"/>
      <w:szCs w:val="20"/>
    </w:rPr>
  </w:style>
  <w:style w:type="paragraph" w:customStyle="1" w:styleId="59">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cs="宋体"/>
      <w:color w:val="000000"/>
      <w:kern w:val="0"/>
      <w:sz w:val="20"/>
      <w:szCs w:val="20"/>
    </w:rPr>
  </w:style>
  <w:style w:type="paragraph" w:customStyle="1" w:styleId="60">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kern w:val="0"/>
      <w:szCs w:val="21"/>
    </w:rPr>
  </w:style>
  <w:style w:type="paragraph" w:customStyle="1" w:styleId="6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62">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Cs w:val="21"/>
    </w:rPr>
  </w:style>
  <w:style w:type="paragraph" w:customStyle="1" w:styleId="63">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Cs w:val="21"/>
    </w:rPr>
  </w:style>
  <w:style w:type="paragraph" w:customStyle="1" w:styleId="64">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65">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宋体"/>
      <w:color w:val="000000"/>
      <w:kern w:val="0"/>
      <w:sz w:val="20"/>
      <w:szCs w:val="20"/>
    </w:rPr>
  </w:style>
  <w:style w:type="paragraph" w:customStyle="1" w:styleId="6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Cs w:val="21"/>
    </w:rPr>
  </w:style>
  <w:style w:type="paragraph" w:customStyle="1" w:styleId="67">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cs="宋体"/>
      <w:color w:val="000000"/>
      <w:kern w:val="0"/>
      <w:sz w:val="20"/>
      <w:szCs w:val="20"/>
    </w:rPr>
  </w:style>
  <w:style w:type="paragraph" w:customStyle="1" w:styleId="68">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s="宋体"/>
      <w:b/>
      <w:bCs/>
      <w:color w:val="000000"/>
      <w:kern w:val="0"/>
      <w:sz w:val="20"/>
      <w:szCs w:val="20"/>
    </w:rPr>
  </w:style>
  <w:style w:type="paragraph" w:customStyle="1" w:styleId="69">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0">
    <w:name w:val="xl11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1">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2">
    <w:name w:val="xl118"/>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cs="宋体"/>
      <w:color w:val="000000"/>
      <w:kern w:val="0"/>
      <w:sz w:val="18"/>
      <w:szCs w:val="18"/>
    </w:rPr>
  </w:style>
  <w:style w:type="paragraph" w:customStyle="1" w:styleId="73">
    <w:name w:val="xl11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74">
    <w:name w:val="xl120"/>
    <w:basedOn w:val="1"/>
    <w:qFormat/>
    <w:uiPriority w:val="0"/>
    <w:pPr>
      <w:widowControl/>
      <w:pBdr>
        <w:left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75">
    <w:name w:val="xl12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cs="宋体"/>
      <w:kern w:val="0"/>
      <w:sz w:val="20"/>
      <w:szCs w:val="20"/>
    </w:rPr>
  </w:style>
  <w:style w:type="paragraph" w:customStyle="1" w:styleId="76">
    <w:name w:val="xl12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cs="宋体"/>
      <w:b/>
      <w:bCs/>
      <w:kern w:val="0"/>
      <w:sz w:val="20"/>
      <w:szCs w:val="20"/>
    </w:rPr>
  </w:style>
  <w:style w:type="paragraph" w:customStyle="1" w:styleId="77">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b/>
      <w:bCs/>
      <w:kern w:val="0"/>
      <w:sz w:val="18"/>
      <w:szCs w:val="18"/>
    </w:rPr>
  </w:style>
  <w:style w:type="paragraph" w:customStyle="1" w:styleId="78">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cs="宋体"/>
      <w:b/>
      <w:bCs/>
      <w:kern w:val="0"/>
      <w:sz w:val="20"/>
      <w:szCs w:val="20"/>
    </w:rPr>
  </w:style>
  <w:style w:type="character" w:customStyle="1" w:styleId="79">
    <w:name w:val="页眉 Char"/>
    <w:link w:val="7"/>
    <w:qFormat/>
    <w:locked/>
    <w:uiPriority w:val="99"/>
    <w:rPr>
      <w:rFonts w:cs="Times New Roman"/>
      <w:sz w:val="18"/>
      <w:szCs w:val="18"/>
    </w:rPr>
  </w:style>
  <w:style w:type="character" w:customStyle="1" w:styleId="80">
    <w:name w:val="页脚 Char"/>
    <w:link w:val="6"/>
    <w:qFormat/>
    <w:locked/>
    <w:uiPriority w:val="99"/>
    <w:rPr>
      <w:rFonts w:cs="Times New Roman"/>
      <w:sz w:val="18"/>
      <w:szCs w:val="18"/>
    </w:rPr>
  </w:style>
  <w:style w:type="character" w:customStyle="1" w:styleId="81">
    <w:name w:val="批注框文本 Char"/>
    <w:link w:val="5"/>
    <w:semiHidden/>
    <w:qFormat/>
    <w:locked/>
    <w:uiPriority w:val="99"/>
    <w:rPr>
      <w:rFonts w:cs="Times New Roman"/>
      <w:sz w:val="18"/>
      <w:szCs w:val="18"/>
    </w:rPr>
  </w:style>
  <w:style w:type="character" w:customStyle="1" w:styleId="82">
    <w:name w:val="标题 1 Char"/>
    <w:link w:val="2"/>
    <w:qFormat/>
    <w:uiPriority w:val="99"/>
    <w:rPr>
      <w:rFonts w:ascii="Times New Roman" w:hAnsi="Times New Roman" w:eastAsia="黑体"/>
      <w:b/>
      <w:bCs/>
      <w:kern w:val="44"/>
      <w:sz w:val="28"/>
      <w:szCs w:val="44"/>
    </w:rPr>
  </w:style>
  <w:style w:type="character" w:customStyle="1" w:styleId="83">
    <w:name w:val="style41"/>
    <w:qFormat/>
    <w:uiPriority w:val="0"/>
    <w:rPr>
      <w:rFonts w:ascii="Verdana" w:hAnsi="Verdana" w:eastAsia="仿宋_GB2312"/>
      <w:sz w:val="18"/>
      <w:szCs w:val="18"/>
      <w:lang w:val="en-US" w:eastAsia="en-US" w:bidi="ar-SA"/>
    </w:rPr>
  </w:style>
  <w:style w:type="character" w:customStyle="1" w:styleId="84">
    <w:name w:val="font01"/>
    <w:basedOn w:val="13"/>
    <w:qFormat/>
    <w:uiPriority w:val="0"/>
    <w:rPr>
      <w:rFonts w:hint="eastAsia" w:ascii="等线" w:hAnsi="等线" w:eastAsia="等线" w:cs="等线"/>
      <w:color w:val="000000"/>
      <w:sz w:val="20"/>
      <w:szCs w:val="20"/>
      <w:u w:val="none"/>
    </w:rPr>
  </w:style>
  <w:style w:type="character" w:customStyle="1" w:styleId="85">
    <w:name w:val="font31"/>
    <w:basedOn w:val="13"/>
    <w:qFormat/>
    <w:uiPriority w:val="0"/>
    <w:rPr>
      <w:rFonts w:hint="eastAsia" w:ascii="等线" w:hAnsi="等线" w:eastAsia="等线" w:cs="等线"/>
      <w:color w:val="FF0000"/>
      <w:sz w:val="24"/>
      <w:szCs w:val="24"/>
      <w:u w:val="none"/>
    </w:rPr>
  </w:style>
  <w:style w:type="character" w:customStyle="1" w:styleId="86">
    <w:name w:val="font41"/>
    <w:basedOn w:val="13"/>
    <w:qFormat/>
    <w:uiPriority w:val="0"/>
    <w:rPr>
      <w:rFonts w:hint="eastAsia" w:ascii="等线" w:hAnsi="等线" w:eastAsia="等线" w:cs="等线"/>
      <w:color w:val="FF0000"/>
      <w:sz w:val="20"/>
      <w:szCs w:val="20"/>
      <w:u w:val="none"/>
    </w:rPr>
  </w:style>
  <w:style w:type="character" w:customStyle="1" w:styleId="87">
    <w:name w:val="font91"/>
    <w:basedOn w:val="13"/>
    <w:qFormat/>
    <w:uiPriority w:val="0"/>
    <w:rPr>
      <w:rFonts w:hint="eastAsia" w:ascii="等线" w:hAnsi="等线" w:eastAsia="等线" w:cs="等线"/>
      <w:color w:val="000000"/>
      <w:sz w:val="20"/>
      <w:szCs w:val="20"/>
      <w:u w:val="none"/>
    </w:rPr>
  </w:style>
  <w:style w:type="character" w:customStyle="1" w:styleId="88">
    <w:name w:val="font11"/>
    <w:basedOn w:val="13"/>
    <w:qFormat/>
    <w:uiPriority w:val="0"/>
    <w:rPr>
      <w:rFonts w:hint="eastAsia" w:ascii="等线" w:hAnsi="等线" w:eastAsia="等线" w:cs="等线"/>
      <w:color w:val="FF0000"/>
      <w:sz w:val="24"/>
      <w:szCs w:val="24"/>
      <w:u w:val="none"/>
    </w:rPr>
  </w:style>
  <w:style w:type="character" w:customStyle="1" w:styleId="89">
    <w:name w:val="font61"/>
    <w:basedOn w:val="13"/>
    <w:qFormat/>
    <w:uiPriority w:val="0"/>
    <w:rPr>
      <w:rFonts w:hint="eastAsia" w:ascii="宋体" w:hAnsi="宋体" w:eastAsia="宋体" w:cs="宋体"/>
      <w:color w:val="000000"/>
      <w:sz w:val="16"/>
      <w:szCs w:val="16"/>
      <w:u w:val="none"/>
    </w:rPr>
  </w:style>
  <w:style w:type="character" w:customStyle="1" w:styleId="90">
    <w:name w:val="font81"/>
    <w:basedOn w:val="13"/>
    <w:qFormat/>
    <w:uiPriority w:val="0"/>
    <w:rPr>
      <w:rFonts w:hint="eastAsia" w:ascii="宋体" w:hAnsi="宋体" w:eastAsia="宋体" w:cs="宋体"/>
      <w:color w:val="000000"/>
      <w:sz w:val="16"/>
      <w:szCs w:val="16"/>
      <w:u w:val="none"/>
    </w:rPr>
  </w:style>
  <w:style w:type="table" w:customStyle="1" w:styleId="91">
    <w:name w:val="TableGrid"/>
    <w:qFormat/>
    <w:uiPriority w:val="0"/>
    <w:rPr>
      <w:rFonts w:ascii="Calibri" w:hAnsi="Calibri"/>
      <w:kern w:val="2"/>
      <w:sz w:val="21"/>
      <w:szCs w:val="22"/>
    </w:rPr>
    <w:tblPr>
      <w:tblCellMar>
        <w:top w:w="0" w:type="dxa"/>
        <w:left w:w="0" w:type="dxa"/>
        <w:bottom w:w="0" w:type="dxa"/>
        <w:right w:w="0" w:type="dxa"/>
      </w:tblCellMar>
    </w:tblPr>
  </w:style>
  <w:style w:type="paragraph" w:customStyle="1" w:styleId="92">
    <w:name w:val="WPSOffice手动目录 1"/>
    <w:qFormat/>
    <w:uiPriority w:val="0"/>
    <w:rPr>
      <w:rFonts w:ascii="Times New Roman" w:hAnsi="Times New Roman" w:eastAsia="宋体" w:cs="Times New Roman"/>
      <w:lang w:val="en-US" w:eastAsia="zh-CN" w:bidi="ar-SA"/>
    </w:rPr>
  </w:style>
  <w:style w:type="paragraph" w:customStyle="1" w:styleId="93">
    <w:name w:val="WPSOffice手动目录 2"/>
    <w:qFormat/>
    <w:uiPriority w:val="0"/>
    <w:pPr>
      <w:ind w:left="200" w:leftChars="200"/>
    </w:pPr>
    <w:rPr>
      <w:rFonts w:ascii="Times New Roman" w:hAnsi="Times New Roman" w:eastAsia="宋体" w:cs="Times New Roman"/>
      <w:lang w:val="en-US" w:eastAsia="zh-CN" w:bidi="ar-SA"/>
    </w:rPr>
  </w:style>
  <w:style w:type="paragraph" w:styleId="94">
    <w:name w:val="List Paragraph"/>
    <w:basedOn w:val="1"/>
    <w:unhideWhenUsed/>
    <w:qFormat/>
    <w:uiPriority w:val="99"/>
    <w:pPr>
      <w:ind w:firstLine="420" w:firstLineChars="200"/>
    </w:pPr>
  </w:style>
  <w:style w:type="paragraph" w:customStyle="1" w:styleId="95">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table" w:customStyle="1" w:styleId="9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901BA6-97ED-4BB3-A111-172B5D684534}">
  <ds:schemaRefs/>
</ds:datastoreItem>
</file>

<file path=docProps/app.xml><?xml version="1.0" encoding="utf-8"?>
<Properties xmlns="http://schemas.openxmlformats.org/officeDocument/2006/extended-properties" xmlns:vt="http://schemas.openxmlformats.org/officeDocument/2006/docPropsVTypes">
  <Template>Normal</Template>
  <Company>MS</Company>
  <Pages>51</Pages>
  <Words>13873</Words>
  <Characters>14130</Characters>
  <Lines>126</Lines>
  <Paragraphs>35</Paragraphs>
  <TotalTime>168</TotalTime>
  <ScaleCrop>false</ScaleCrop>
  <LinksUpToDate>false</LinksUpToDate>
  <CharactersWithSpaces>14514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2016-08-03T00:48:00Z</dcterms:created>
  <dc:creator>田朝晖</dc:creator>
  <cp:lastModifiedBy>空谷幽月</cp:lastModifiedBy>
  <cp:lastPrinted>2022-12-13T04:06:00Z</cp:lastPrinted>
  <dcterms:modified xsi:type="dcterms:W3CDTF">2023-05-03T07:34:23Z</dcterms:modified>
  <dc:title>呼伦贝尔职业技术学院</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RubyTemplateID">
    <vt:lpwstr>6</vt:lpwstr>
  </property>
  <property fmtid="{D5CDD505-2E9C-101B-9397-08002B2CF9AE}" pid="4" name="ICV">
    <vt:lpwstr>647D7D91FF354A8DBB8E17DC3660E770</vt:lpwstr>
  </property>
</Properties>
</file>